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02B07" w:rsidRDefault="00402B07" w:rsidP="00925068"/>
    <w:p w:rsidR="0071021D" w:rsidRDefault="0071021D" w:rsidP="00925068">
      <w:pPr>
        <w:rPr>
          <w:rFonts w:cs="Levenim MT"/>
          <w:b/>
          <w:color w:val="1F497D" w:themeColor="text2"/>
          <w:sz w:val="32"/>
        </w:rPr>
      </w:pPr>
    </w:p>
    <w:p w:rsidR="008531E3" w:rsidRDefault="008531E3" w:rsidP="00925068">
      <w:pPr>
        <w:rPr>
          <w:rFonts w:cs="Levenim MT"/>
          <w:b/>
          <w:color w:val="1F497D" w:themeColor="text2"/>
          <w:sz w:val="32"/>
        </w:rPr>
      </w:pPr>
    </w:p>
    <w:p w:rsidR="005A22EF" w:rsidRPr="006A4E2C" w:rsidRDefault="005A22EF" w:rsidP="00925068">
      <w:pPr>
        <w:rPr>
          <w:rFonts w:cs="Levenim MT"/>
          <w:b/>
          <w:color w:val="1F497D" w:themeColor="text2"/>
          <w:sz w:val="32"/>
        </w:rPr>
      </w:pPr>
      <w:r w:rsidRPr="006A4E2C">
        <w:rPr>
          <w:rFonts w:cs="Levenim MT"/>
          <w:b/>
          <w:color w:val="1F497D" w:themeColor="text2"/>
          <w:sz w:val="32"/>
        </w:rPr>
        <w:t>Lower Moors SSSI</w:t>
      </w:r>
    </w:p>
    <w:p w:rsidR="005A22EF" w:rsidRPr="006A4E2C" w:rsidRDefault="00C72522" w:rsidP="00925068">
      <w:pPr>
        <w:rPr>
          <w:rFonts w:cs="Levenim MT"/>
          <w:b/>
          <w:color w:val="1F497D" w:themeColor="text2"/>
          <w:sz w:val="24"/>
        </w:rPr>
      </w:pPr>
      <w:r>
        <w:rPr>
          <w:rFonts w:cs="Levenim MT"/>
          <w:b/>
          <w:color w:val="1F497D" w:themeColor="text2"/>
          <w:sz w:val="24"/>
        </w:rPr>
        <w:t>Topographic Survey</w:t>
      </w:r>
      <w:r w:rsidR="005A22EF" w:rsidRPr="006A4E2C">
        <w:rPr>
          <w:rFonts w:cs="Levenim MT"/>
          <w:b/>
          <w:color w:val="1F497D" w:themeColor="text2"/>
          <w:sz w:val="24"/>
        </w:rPr>
        <w:t xml:space="preserve">: </w:t>
      </w:r>
      <w:r>
        <w:rPr>
          <w:rFonts w:cs="Levenim MT"/>
          <w:b/>
          <w:color w:val="1F497D" w:themeColor="text2"/>
          <w:sz w:val="24"/>
        </w:rPr>
        <w:t>Technical Brief</w:t>
      </w:r>
    </w:p>
    <w:p w:rsidR="005A22EF" w:rsidRDefault="00BC32EE" w:rsidP="00925068">
      <w:r>
        <w:br w:type="textWrapping" w:clear="all"/>
      </w:r>
      <w:r w:rsidR="00C72522" w:rsidRPr="00C72522">
        <w:rPr>
          <w:noProof/>
          <w:lang w:eastAsia="en-GB"/>
        </w:rPr>
        <w:drawing>
          <wp:inline distT="0" distB="0" distL="0" distR="0">
            <wp:extent cx="5040000" cy="3341409"/>
            <wp:effectExtent l="19050" t="19050" r="27300" b="11391"/>
            <wp:docPr id="6" name="Picture 24" descr="DSC_2402_P_COV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2402_P_COVER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334140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A95FBB" w:rsidRDefault="00A95FBB" w:rsidP="00925068">
      <w:pPr>
        <w:rPr>
          <w:b/>
          <w:color w:val="1F497D" w:themeColor="text2"/>
          <w:sz w:val="22"/>
        </w:rPr>
      </w:pPr>
    </w:p>
    <w:p w:rsidR="00A95FBB" w:rsidRDefault="00A95FBB" w:rsidP="00925068">
      <w:pPr>
        <w:rPr>
          <w:b/>
          <w:color w:val="1F497D" w:themeColor="text2"/>
          <w:sz w:val="22"/>
        </w:rPr>
      </w:pPr>
    </w:p>
    <w:p w:rsidR="00A95FBB" w:rsidRDefault="00A95FBB" w:rsidP="00925068">
      <w:pPr>
        <w:rPr>
          <w:b/>
          <w:color w:val="1F497D" w:themeColor="text2"/>
          <w:sz w:val="22"/>
        </w:rPr>
      </w:pPr>
    </w:p>
    <w:p w:rsidR="007E1144" w:rsidRDefault="007E1144" w:rsidP="00925068">
      <w:pPr>
        <w:rPr>
          <w:b/>
          <w:color w:val="1F497D" w:themeColor="text2"/>
          <w:sz w:val="22"/>
        </w:rPr>
      </w:pPr>
    </w:p>
    <w:p w:rsidR="00A95FBB" w:rsidRDefault="00A95FBB" w:rsidP="00925068">
      <w:pPr>
        <w:rPr>
          <w:b/>
          <w:color w:val="1F497D" w:themeColor="text2"/>
          <w:sz w:val="22"/>
        </w:rPr>
      </w:pPr>
    </w:p>
    <w:p w:rsidR="00A95FBB" w:rsidRDefault="00A95FBB" w:rsidP="00925068">
      <w:pPr>
        <w:rPr>
          <w:b/>
          <w:color w:val="1F497D" w:themeColor="text2"/>
          <w:sz w:val="22"/>
        </w:rPr>
      </w:pPr>
    </w:p>
    <w:p w:rsidR="001C5266" w:rsidRPr="00925068" w:rsidRDefault="00C72522" w:rsidP="00925068">
      <w:pPr>
        <w:rPr>
          <w:b/>
          <w:color w:val="1F497D" w:themeColor="text2"/>
          <w:sz w:val="22"/>
        </w:rPr>
      </w:pPr>
      <w:r>
        <w:rPr>
          <w:b/>
          <w:color w:val="1F497D" w:themeColor="text2"/>
          <w:sz w:val="22"/>
        </w:rPr>
        <w:t>June</w:t>
      </w:r>
      <w:r w:rsidR="005A22EF" w:rsidRPr="00925068">
        <w:rPr>
          <w:b/>
          <w:color w:val="1F497D" w:themeColor="text2"/>
          <w:sz w:val="22"/>
        </w:rPr>
        <w:t xml:space="preserve"> 2016</w:t>
      </w:r>
    </w:p>
    <w:p w:rsidR="00D75887" w:rsidRDefault="00D75887" w:rsidP="00D75887">
      <w:pPr>
        <w:pStyle w:val="Heading1"/>
        <w:numPr>
          <w:ilvl w:val="0"/>
          <w:numId w:val="0"/>
        </w:numPr>
        <w:ind w:left="360" w:hanging="360"/>
      </w:pPr>
      <w:bookmarkStart w:id="0" w:name="_Toc447727006"/>
      <w:bookmarkStart w:id="1" w:name="_Toc454229844"/>
      <w:r>
        <w:lastRenderedPageBreak/>
        <w:t>Report Details</w:t>
      </w:r>
      <w:bookmarkEnd w:id="0"/>
      <w:bookmarkEnd w:id="1"/>
    </w:p>
    <w:tbl>
      <w:tblPr>
        <w:tblStyle w:val="TableGrid"/>
        <w:tblW w:w="93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6804"/>
      </w:tblGrid>
      <w:tr w:rsidR="000A7B08" w:rsidTr="007B5A8A">
        <w:trPr>
          <w:trHeight w:val="454"/>
        </w:trPr>
        <w:tc>
          <w:tcPr>
            <w:tcW w:w="2518" w:type="dxa"/>
          </w:tcPr>
          <w:p w:rsidR="000A7B08" w:rsidRPr="006E2DEC" w:rsidRDefault="001C5266" w:rsidP="00925068">
            <w:pPr>
              <w:rPr>
                <w:b/>
              </w:rPr>
            </w:pPr>
            <w:r w:rsidRPr="006E2DEC">
              <w:rPr>
                <w:b/>
              </w:rPr>
              <w:br w:type="page"/>
            </w:r>
            <w:r w:rsidR="000A7B08" w:rsidRPr="006E2DEC">
              <w:rPr>
                <w:b/>
              </w:rPr>
              <w:t>Project Name</w:t>
            </w:r>
            <w:r w:rsidR="008531E3">
              <w:rPr>
                <w:b/>
              </w:rPr>
              <w:t>:</w:t>
            </w:r>
          </w:p>
        </w:tc>
        <w:tc>
          <w:tcPr>
            <w:tcW w:w="6804" w:type="dxa"/>
          </w:tcPr>
          <w:p w:rsidR="000A7B08" w:rsidRDefault="000A7B08" w:rsidP="00925068">
            <w:r>
              <w:t>Lower Moors SSSI</w:t>
            </w:r>
          </w:p>
        </w:tc>
      </w:tr>
      <w:tr w:rsidR="00865592" w:rsidTr="007B5A8A">
        <w:trPr>
          <w:trHeight w:val="454"/>
        </w:trPr>
        <w:tc>
          <w:tcPr>
            <w:tcW w:w="2518" w:type="dxa"/>
          </w:tcPr>
          <w:p w:rsidR="00865592" w:rsidRPr="006E2DEC" w:rsidRDefault="00865592" w:rsidP="00C20DAA">
            <w:pPr>
              <w:rPr>
                <w:b/>
              </w:rPr>
            </w:pPr>
            <w:r w:rsidRPr="006E2DEC">
              <w:rPr>
                <w:b/>
              </w:rPr>
              <w:t>Report</w:t>
            </w:r>
            <w:r w:rsidR="008531E3">
              <w:rPr>
                <w:b/>
              </w:rPr>
              <w:t xml:space="preserve"> Title:</w:t>
            </w:r>
          </w:p>
        </w:tc>
        <w:tc>
          <w:tcPr>
            <w:tcW w:w="6804" w:type="dxa"/>
          </w:tcPr>
          <w:p w:rsidR="00865592" w:rsidRDefault="00C72522" w:rsidP="00C20DAA">
            <w:r>
              <w:t>Topographic Survey: Technical Brief</w:t>
            </w:r>
          </w:p>
        </w:tc>
      </w:tr>
      <w:tr w:rsidR="00865592" w:rsidTr="007B5A8A">
        <w:trPr>
          <w:trHeight w:val="454"/>
        </w:trPr>
        <w:tc>
          <w:tcPr>
            <w:tcW w:w="2518" w:type="dxa"/>
          </w:tcPr>
          <w:p w:rsidR="00865592" w:rsidRPr="006E2DEC" w:rsidRDefault="00865592" w:rsidP="00925068">
            <w:pPr>
              <w:rPr>
                <w:b/>
              </w:rPr>
            </w:pPr>
            <w:r w:rsidRPr="006E2DEC">
              <w:rPr>
                <w:b/>
              </w:rPr>
              <w:t>Project Number</w:t>
            </w:r>
            <w:r w:rsidR="008531E3">
              <w:rPr>
                <w:b/>
              </w:rPr>
              <w:t>:</w:t>
            </w:r>
          </w:p>
        </w:tc>
        <w:tc>
          <w:tcPr>
            <w:tcW w:w="6804" w:type="dxa"/>
          </w:tcPr>
          <w:p w:rsidR="00865592" w:rsidRDefault="00C72522" w:rsidP="00925068">
            <w:r>
              <w:t>16_05</w:t>
            </w:r>
            <w:r w:rsidR="00806AD0">
              <w:t>01</w:t>
            </w:r>
          </w:p>
        </w:tc>
      </w:tr>
      <w:tr w:rsidR="00865592" w:rsidTr="007B5A8A">
        <w:trPr>
          <w:trHeight w:val="454"/>
        </w:trPr>
        <w:tc>
          <w:tcPr>
            <w:tcW w:w="2518" w:type="dxa"/>
          </w:tcPr>
          <w:p w:rsidR="00865592" w:rsidRPr="006E2DEC" w:rsidRDefault="00865592" w:rsidP="00C20DAA">
            <w:pPr>
              <w:rPr>
                <w:b/>
              </w:rPr>
            </w:pPr>
            <w:r w:rsidRPr="006E2DEC">
              <w:rPr>
                <w:b/>
              </w:rPr>
              <w:t>Client</w:t>
            </w:r>
            <w:r w:rsidR="008531E3">
              <w:rPr>
                <w:b/>
              </w:rPr>
              <w:t>:</w:t>
            </w:r>
          </w:p>
        </w:tc>
        <w:tc>
          <w:tcPr>
            <w:tcW w:w="6804" w:type="dxa"/>
          </w:tcPr>
          <w:p w:rsidR="00865592" w:rsidRDefault="008531E3" w:rsidP="008531E3">
            <w:r w:rsidRPr="008531E3">
              <w:t xml:space="preserve">Council of the </w:t>
            </w:r>
            <w:r w:rsidR="00865592" w:rsidRPr="008531E3">
              <w:t xml:space="preserve">Isles of Scilly </w:t>
            </w:r>
          </w:p>
        </w:tc>
      </w:tr>
      <w:tr w:rsidR="00865592" w:rsidTr="007B5A8A">
        <w:trPr>
          <w:trHeight w:val="454"/>
        </w:trPr>
        <w:tc>
          <w:tcPr>
            <w:tcW w:w="2518" w:type="dxa"/>
          </w:tcPr>
          <w:p w:rsidR="00865592" w:rsidRPr="006E2DEC" w:rsidRDefault="00865592" w:rsidP="00925068">
            <w:pPr>
              <w:rPr>
                <w:b/>
              </w:rPr>
            </w:pPr>
            <w:r w:rsidRPr="006E2DEC">
              <w:rPr>
                <w:b/>
              </w:rPr>
              <w:t>Version</w:t>
            </w:r>
            <w:r w:rsidR="00FE2F92">
              <w:rPr>
                <w:b/>
              </w:rPr>
              <w:t>:</w:t>
            </w:r>
          </w:p>
        </w:tc>
        <w:tc>
          <w:tcPr>
            <w:tcW w:w="6804" w:type="dxa"/>
          </w:tcPr>
          <w:p w:rsidR="00865592" w:rsidRDefault="00596398" w:rsidP="00925068">
            <w:r>
              <w:t>V2</w:t>
            </w:r>
            <w:r w:rsidR="00E20A1D">
              <w:t>.1</w:t>
            </w:r>
          </w:p>
        </w:tc>
      </w:tr>
      <w:tr w:rsidR="00865592" w:rsidTr="007B5A8A">
        <w:trPr>
          <w:trHeight w:val="454"/>
        </w:trPr>
        <w:tc>
          <w:tcPr>
            <w:tcW w:w="2518" w:type="dxa"/>
          </w:tcPr>
          <w:p w:rsidR="00865592" w:rsidRPr="006E2DEC" w:rsidRDefault="00865592" w:rsidP="00925068">
            <w:pPr>
              <w:rPr>
                <w:b/>
              </w:rPr>
            </w:pPr>
            <w:r w:rsidRPr="006E2DEC">
              <w:rPr>
                <w:b/>
              </w:rPr>
              <w:t>Author</w:t>
            </w:r>
            <w:r w:rsidR="00FE2F92">
              <w:rPr>
                <w:b/>
              </w:rPr>
              <w:t>:</w:t>
            </w:r>
          </w:p>
        </w:tc>
        <w:tc>
          <w:tcPr>
            <w:tcW w:w="6804" w:type="dxa"/>
          </w:tcPr>
          <w:p w:rsidR="00865592" w:rsidRDefault="004B2B59" w:rsidP="00925068">
            <w:r>
              <w:t>D.J.</w:t>
            </w:r>
            <w:r w:rsidR="00865592">
              <w:t xml:space="preserve"> Mould</w:t>
            </w:r>
          </w:p>
        </w:tc>
      </w:tr>
      <w:tr w:rsidR="00865592" w:rsidTr="007B5A8A">
        <w:trPr>
          <w:trHeight w:val="454"/>
        </w:trPr>
        <w:tc>
          <w:tcPr>
            <w:tcW w:w="2518" w:type="dxa"/>
          </w:tcPr>
          <w:p w:rsidR="00865592" w:rsidRPr="006E2DEC" w:rsidRDefault="00865592" w:rsidP="00925068">
            <w:pPr>
              <w:rPr>
                <w:b/>
              </w:rPr>
            </w:pPr>
            <w:r w:rsidRPr="006E2DEC">
              <w:rPr>
                <w:b/>
              </w:rPr>
              <w:t>Date</w:t>
            </w:r>
            <w:r w:rsidR="00FE2F92">
              <w:rPr>
                <w:b/>
              </w:rPr>
              <w:t>:</w:t>
            </w:r>
          </w:p>
        </w:tc>
        <w:tc>
          <w:tcPr>
            <w:tcW w:w="6804" w:type="dxa"/>
          </w:tcPr>
          <w:p w:rsidR="00865592" w:rsidRDefault="00596398" w:rsidP="00596398">
            <w:r>
              <w:t>20</w:t>
            </w:r>
            <w:r w:rsidRPr="00596398">
              <w:rPr>
                <w:vertAlign w:val="superscript"/>
              </w:rPr>
              <w:t>th</w:t>
            </w:r>
            <w:r>
              <w:t xml:space="preserve"> </w:t>
            </w:r>
            <w:r w:rsidR="00C72522">
              <w:t>June</w:t>
            </w:r>
            <w:r w:rsidR="009E3F80">
              <w:t xml:space="preserve"> 2016</w:t>
            </w:r>
          </w:p>
        </w:tc>
      </w:tr>
      <w:tr w:rsidR="00865592" w:rsidTr="007B5A8A">
        <w:trPr>
          <w:trHeight w:val="454"/>
        </w:trPr>
        <w:tc>
          <w:tcPr>
            <w:tcW w:w="2518" w:type="dxa"/>
          </w:tcPr>
          <w:p w:rsidR="00865592" w:rsidRPr="006E2DEC" w:rsidRDefault="00865592" w:rsidP="00925068">
            <w:pPr>
              <w:rPr>
                <w:b/>
              </w:rPr>
            </w:pPr>
            <w:r w:rsidRPr="006E2DEC">
              <w:rPr>
                <w:b/>
              </w:rPr>
              <w:t>Status</w:t>
            </w:r>
            <w:r w:rsidR="00FE2F92">
              <w:rPr>
                <w:b/>
              </w:rPr>
              <w:t>:</w:t>
            </w:r>
          </w:p>
        </w:tc>
        <w:tc>
          <w:tcPr>
            <w:tcW w:w="6804" w:type="dxa"/>
          </w:tcPr>
          <w:p w:rsidR="00865592" w:rsidRPr="00865592" w:rsidRDefault="00596398" w:rsidP="00925068">
            <w:pPr>
              <w:rPr>
                <w:color w:val="FF0000"/>
              </w:rPr>
            </w:pPr>
            <w:r>
              <w:t>Final</w:t>
            </w:r>
          </w:p>
        </w:tc>
      </w:tr>
      <w:tr w:rsidR="00865592" w:rsidTr="007B5A8A">
        <w:trPr>
          <w:trHeight w:val="454"/>
        </w:trPr>
        <w:tc>
          <w:tcPr>
            <w:tcW w:w="2518" w:type="dxa"/>
          </w:tcPr>
          <w:p w:rsidR="00865592" w:rsidRPr="006E2DEC" w:rsidRDefault="00865592" w:rsidP="00925068">
            <w:pPr>
              <w:rPr>
                <w:b/>
              </w:rPr>
            </w:pPr>
          </w:p>
        </w:tc>
        <w:tc>
          <w:tcPr>
            <w:tcW w:w="6804" w:type="dxa"/>
          </w:tcPr>
          <w:p w:rsidR="00865592" w:rsidRDefault="00865592" w:rsidP="00925068"/>
        </w:tc>
      </w:tr>
    </w:tbl>
    <w:p w:rsidR="00221CF9" w:rsidRDefault="00221CF9" w:rsidP="00925068"/>
    <w:p w:rsidR="00221CF9" w:rsidRDefault="00221CF9" w:rsidP="00925068"/>
    <w:p w:rsidR="00805210" w:rsidRDefault="00805210">
      <w:pPr>
        <w:rPr>
          <w:b/>
          <w:color w:val="17365D" w:themeColor="text2" w:themeShade="BF"/>
          <w:sz w:val="24"/>
          <w:highlight w:val="cyan"/>
          <w:u w:val="single"/>
        </w:rPr>
      </w:pPr>
      <w:r>
        <w:rPr>
          <w:highlight w:val="cyan"/>
        </w:rPr>
        <w:br w:type="page"/>
      </w:r>
    </w:p>
    <w:p w:rsidR="003C092B" w:rsidRDefault="003C092B" w:rsidP="003C092B">
      <w:pPr>
        <w:pStyle w:val="Heading1"/>
        <w:numPr>
          <w:ilvl w:val="0"/>
          <w:numId w:val="0"/>
        </w:numPr>
        <w:ind w:left="360" w:hanging="360"/>
      </w:pPr>
      <w:bookmarkStart w:id="2" w:name="_Toc447709922"/>
      <w:bookmarkStart w:id="3" w:name="_Toc447727008"/>
      <w:bookmarkStart w:id="4" w:name="_Toc454229845"/>
      <w:r w:rsidRPr="000D0D3E">
        <w:lastRenderedPageBreak/>
        <w:t>Contents</w:t>
      </w:r>
      <w:bookmarkEnd w:id="2"/>
      <w:bookmarkEnd w:id="3"/>
      <w:bookmarkEnd w:id="4"/>
    </w:p>
    <w:sdt>
      <w:sdtPr>
        <w:id w:val="-1910753404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:rsidR="00596398" w:rsidRDefault="002D283F" w:rsidP="00596398">
          <w:pPr>
            <w:pStyle w:val="TOC1"/>
            <w:tabs>
              <w:tab w:val="right" w:leader="dot" w:pos="9465"/>
            </w:tabs>
            <w:rPr>
              <w:rFonts w:eastAsiaTheme="minorEastAsia"/>
              <w:noProof/>
              <w:sz w:val="22"/>
              <w:lang w:eastAsia="en-GB"/>
            </w:rPr>
          </w:pPr>
          <w:r>
            <w:fldChar w:fldCharType="begin"/>
          </w:r>
          <w:r w:rsidR="00805210">
            <w:instrText xml:space="preserve"> TOC \o "1-3" \h \z \u </w:instrText>
          </w:r>
          <w:r>
            <w:fldChar w:fldCharType="separate"/>
          </w:r>
        </w:p>
        <w:p w:rsidR="00596398" w:rsidRDefault="00EF4338">
          <w:pPr>
            <w:pStyle w:val="TOC1"/>
            <w:tabs>
              <w:tab w:val="left" w:pos="400"/>
              <w:tab w:val="right" w:leader="dot" w:pos="9465"/>
            </w:tabs>
            <w:rPr>
              <w:rFonts w:eastAsiaTheme="minorEastAsia"/>
              <w:noProof/>
              <w:sz w:val="22"/>
              <w:lang w:eastAsia="en-GB"/>
            </w:rPr>
          </w:pPr>
          <w:hyperlink w:anchor="_Toc454229846" w:history="1">
            <w:r w:rsidR="00596398" w:rsidRPr="002900E8">
              <w:rPr>
                <w:rStyle w:val="Hyperlink"/>
                <w:rFonts w:ascii="Calibri" w:hAnsi="Calibri"/>
                <w:noProof/>
              </w:rPr>
              <w:t>1</w:t>
            </w:r>
            <w:r w:rsidR="00596398">
              <w:rPr>
                <w:rFonts w:eastAsiaTheme="minorEastAsia"/>
                <w:noProof/>
                <w:sz w:val="22"/>
                <w:lang w:eastAsia="en-GB"/>
              </w:rPr>
              <w:tab/>
            </w:r>
            <w:r w:rsidR="00596398" w:rsidRPr="002900E8">
              <w:rPr>
                <w:rStyle w:val="Hyperlink"/>
                <w:noProof/>
              </w:rPr>
              <w:t>Introduction and Objectives</w:t>
            </w:r>
            <w:r w:rsidR="00596398">
              <w:rPr>
                <w:noProof/>
                <w:webHidden/>
              </w:rPr>
              <w:tab/>
            </w:r>
            <w:r w:rsidR="00596398">
              <w:rPr>
                <w:noProof/>
                <w:webHidden/>
              </w:rPr>
              <w:fldChar w:fldCharType="begin"/>
            </w:r>
            <w:r w:rsidR="00596398">
              <w:rPr>
                <w:noProof/>
                <w:webHidden/>
              </w:rPr>
              <w:instrText xml:space="preserve"> PAGEREF _Toc454229846 \h </w:instrText>
            </w:r>
            <w:r w:rsidR="00596398">
              <w:rPr>
                <w:noProof/>
                <w:webHidden/>
              </w:rPr>
            </w:r>
            <w:r w:rsidR="00596398">
              <w:rPr>
                <w:noProof/>
                <w:webHidden/>
              </w:rPr>
              <w:fldChar w:fldCharType="separate"/>
            </w:r>
            <w:r w:rsidR="00CB6EC2">
              <w:rPr>
                <w:noProof/>
                <w:webHidden/>
              </w:rPr>
              <w:t>4</w:t>
            </w:r>
            <w:r w:rsidR="00596398">
              <w:rPr>
                <w:noProof/>
                <w:webHidden/>
              </w:rPr>
              <w:fldChar w:fldCharType="end"/>
            </w:r>
          </w:hyperlink>
        </w:p>
        <w:p w:rsidR="00596398" w:rsidRDefault="00EF4338">
          <w:pPr>
            <w:pStyle w:val="TOC1"/>
            <w:tabs>
              <w:tab w:val="left" w:pos="400"/>
              <w:tab w:val="right" w:leader="dot" w:pos="9465"/>
            </w:tabs>
            <w:rPr>
              <w:rFonts w:eastAsiaTheme="minorEastAsia"/>
              <w:noProof/>
              <w:sz w:val="22"/>
              <w:lang w:eastAsia="en-GB"/>
            </w:rPr>
          </w:pPr>
          <w:hyperlink w:anchor="_Toc454229847" w:history="1">
            <w:r w:rsidR="00596398" w:rsidRPr="002900E8">
              <w:rPr>
                <w:rStyle w:val="Hyperlink"/>
                <w:rFonts w:ascii="Calibri" w:hAnsi="Calibri"/>
                <w:noProof/>
              </w:rPr>
              <w:t>2</w:t>
            </w:r>
            <w:r w:rsidR="00596398">
              <w:rPr>
                <w:rFonts w:eastAsiaTheme="minorEastAsia"/>
                <w:noProof/>
                <w:sz w:val="22"/>
                <w:lang w:eastAsia="en-GB"/>
              </w:rPr>
              <w:tab/>
            </w:r>
            <w:r w:rsidR="00596398" w:rsidRPr="002900E8">
              <w:rPr>
                <w:rStyle w:val="Hyperlink"/>
                <w:noProof/>
              </w:rPr>
              <w:t>Site Introduction</w:t>
            </w:r>
            <w:r w:rsidR="00596398">
              <w:rPr>
                <w:noProof/>
                <w:webHidden/>
              </w:rPr>
              <w:tab/>
            </w:r>
            <w:r w:rsidR="00596398">
              <w:rPr>
                <w:noProof/>
                <w:webHidden/>
              </w:rPr>
              <w:fldChar w:fldCharType="begin"/>
            </w:r>
            <w:r w:rsidR="00596398">
              <w:rPr>
                <w:noProof/>
                <w:webHidden/>
              </w:rPr>
              <w:instrText xml:space="preserve"> PAGEREF _Toc454229847 \h </w:instrText>
            </w:r>
            <w:r w:rsidR="00596398">
              <w:rPr>
                <w:noProof/>
                <w:webHidden/>
              </w:rPr>
            </w:r>
            <w:r w:rsidR="00596398">
              <w:rPr>
                <w:noProof/>
                <w:webHidden/>
              </w:rPr>
              <w:fldChar w:fldCharType="separate"/>
            </w:r>
            <w:r w:rsidR="00CB6EC2">
              <w:rPr>
                <w:noProof/>
                <w:webHidden/>
              </w:rPr>
              <w:t>5</w:t>
            </w:r>
            <w:r w:rsidR="00596398">
              <w:rPr>
                <w:noProof/>
                <w:webHidden/>
              </w:rPr>
              <w:fldChar w:fldCharType="end"/>
            </w:r>
          </w:hyperlink>
        </w:p>
        <w:p w:rsidR="00596398" w:rsidRDefault="00EF4338">
          <w:pPr>
            <w:pStyle w:val="TOC2"/>
            <w:tabs>
              <w:tab w:val="right" w:leader="dot" w:pos="9465"/>
            </w:tabs>
            <w:rPr>
              <w:rFonts w:eastAsiaTheme="minorEastAsia"/>
              <w:noProof/>
              <w:sz w:val="22"/>
              <w:lang w:eastAsia="en-GB"/>
            </w:rPr>
          </w:pPr>
          <w:hyperlink w:anchor="_Toc454229848" w:history="1">
            <w:r w:rsidR="00596398" w:rsidRPr="002900E8">
              <w:rPr>
                <w:rStyle w:val="Hyperlink"/>
                <w:rFonts w:ascii="Calibri" w:hAnsi="Calibri"/>
                <w:noProof/>
              </w:rPr>
              <w:t>2.1</w:t>
            </w:r>
            <w:r w:rsidR="00596398" w:rsidRPr="002900E8">
              <w:rPr>
                <w:rStyle w:val="Hyperlink"/>
                <w:noProof/>
              </w:rPr>
              <w:t xml:space="preserve"> Description</w:t>
            </w:r>
            <w:r w:rsidR="00596398">
              <w:rPr>
                <w:noProof/>
                <w:webHidden/>
              </w:rPr>
              <w:tab/>
            </w:r>
            <w:r w:rsidR="00596398">
              <w:rPr>
                <w:noProof/>
                <w:webHidden/>
              </w:rPr>
              <w:fldChar w:fldCharType="begin"/>
            </w:r>
            <w:r w:rsidR="00596398">
              <w:rPr>
                <w:noProof/>
                <w:webHidden/>
              </w:rPr>
              <w:instrText xml:space="preserve"> PAGEREF _Toc454229848 \h </w:instrText>
            </w:r>
            <w:r w:rsidR="00596398">
              <w:rPr>
                <w:noProof/>
                <w:webHidden/>
              </w:rPr>
            </w:r>
            <w:r w:rsidR="00596398">
              <w:rPr>
                <w:noProof/>
                <w:webHidden/>
              </w:rPr>
              <w:fldChar w:fldCharType="separate"/>
            </w:r>
            <w:r w:rsidR="00CB6EC2">
              <w:rPr>
                <w:noProof/>
                <w:webHidden/>
              </w:rPr>
              <w:t>5</w:t>
            </w:r>
            <w:r w:rsidR="00596398">
              <w:rPr>
                <w:noProof/>
                <w:webHidden/>
              </w:rPr>
              <w:fldChar w:fldCharType="end"/>
            </w:r>
          </w:hyperlink>
        </w:p>
        <w:p w:rsidR="00596398" w:rsidRDefault="00EF4338">
          <w:pPr>
            <w:pStyle w:val="TOC2"/>
            <w:tabs>
              <w:tab w:val="right" w:leader="dot" w:pos="9465"/>
            </w:tabs>
            <w:rPr>
              <w:rFonts w:eastAsiaTheme="minorEastAsia"/>
              <w:noProof/>
              <w:sz w:val="22"/>
              <w:lang w:eastAsia="en-GB"/>
            </w:rPr>
          </w:pPr>
          <w:hyperlink w:anchor="_Toc454229849" w:history="1">
            <w:r w:rsidR="00596398" w:rsidRPr="002900E8">
              <w:rPr>
                <w:rStyle w:val="Hyperlink"/>
                <w:rFonts w:ascii="Calibri" w:hAnsi="Calibri"/>
                <w:noProof/>
              </w:rPr>
              <w:t>2.2</w:t>
            </w:r>
            <w:r w:rsidR="00596398" w:rsidRPr="002900E8">
              <w:rPr>
                <w:rStyle w:val="Hyperlink"/>
                <w:noProof/>
              </w:rPr>
              <w:t xml:space="preserve"> Site Ownership and Responsibilities</w:t>
            </w:r>
            <w:r w:rsidR="00596398">
              <w:rPr>
                <w:noProof/>
                <w:webHidden/>
              </w:rPr>
              <w:tab/>
            </w:r>
            <w:r w:rsidR="00596398">
              <w:rPr>
                <w:noProof/>
                <w:webHidden/>
              </w:rPr>
              <w:fldChar w:fldCharType="begin"/>
            </w:r>
            <w:r w:rsidR="00596398">
              <w:rPr>
                <w:noProof/>
                <w:webHidden/>
              </w:rPr>
              <w:instrText xml:space="preserve"> PAGEREF _Toc454229849 \h </w:instrText>
            </w:r>
            <w:r w:rsidR="00596398">
              <w:rPr>
                <w:noProof/>
                <w:webHidden/>
              </w:rPr>
            </w:r>
            <w:r w:rsidR="00596398">
              <w:rPr>
                <w:noProof/>
                <w:webHidden/>
              </w:rPr>
              <w:fldChar w:fldCharType="separate"/>
            </w:r>
            <w:r w:rsidR="00CB6EC2">
              <w:rPr>
                <w:noProof/>
                <w:webHidden/>
              </w:rPr>
              <w:t>6</w:t>
            </w:r>
            <w:r w:rsidR="00596398">
              <w:rPr>
                <w:noProof/>
                <w:webHidden/>
              </w:rPr>
              <w:fldChar w:fldCharType="end"/>
            </w:r>
          </w:hyperlink>
        </w:p>
        <w:p w:rsidR="00596398" w:rsidRDefault="00EF4338">
          <w:pPr>
            <w:pStyle w:val="TOC2"/>
            <w:tabs>
              <w:tab w:val="right" w:leader="dot" w:pos="9465"/>
            </w:tabs>
            <w:rPr>
              <w:rFonts w:eastAsiaTheme="minorEastAsia"/>
              <w:noProof/>
              <w:sz w:val="22"/>
              <w:lang w:eastAsia="en-GB"/>
            </w:rPr>
          </w:pPr>
          <w:hyperlink w:anchor="_Toc454229850" w:history="1">
            <w:r w:rsidR="00596398" w:rsidRPr="002900E8">
              <w:rPr>
                <w:rStyle w:val="Hyperlink"/>
                <w:rFonts w:ascii="Calibri" w:hAnsi="Calibri"/>
                <w:noProof/>
              </w:rPr>
              <w:t>2.3</w:t>
            </w:r>
            <w:r w:rsidR="00596398" w:rsidRPr="002900E8">
              <w:rPr>
                <w:rStyle w:val="Hyperlink"/>
                <w:noProof/>
              </w:rPr>
              <w:t xml:space="preserve"> Access</w:t>
            </w:r>
            <w:r w:rsidR="00596398">
              <w:rPr>
                <w:noProof/>
                <w:webHidden/>
              </w:rPr>
              <w:tab/>
            </w:r>
            <w:r w:rsidR="00596398">
              <w:rPr>
                <w:noProof/>
                <w:webHidden/>
              </w:rPr>
              <w:fldChar w:fldCharType="begin"/>
            </w:r>
            <w:r w:rsidR="00596398">
              <w:rPr>
                <w:noProof/>
                <w:webHidden/>
              </w:rPr>
              <w:instrText xml:space="preserve"> PAGEREF _Toc454229850 \h </w:instrText>
            </w:r>
            <w:r w:rsidR="00596398">
              <w:rPr>
                <w:noProof/>
                <w:webHidden/>
              </w:rPr>
            </w:r>
            <w:r w:rsidR="00596398">
              <w:rPr>
                <w:noProof/>
                <w:webHidden/>
              </w:rPr>
              <w:fldChar w:fldCharType="separate"/>
            </w:r>
            <w:r w:rsidR="00CB6EC2">
              <w:rPr>
                <w:noProof/>
                <w:webHidden/>
              </w:rPr>
              <w:t>6</w:t>
            </w:r>
            <w:r w:rsidR="00596398">
              <w:rPr>
                <w:noProof/>
                <w:webHidden/>
              </w:rPr>
              <w:fldChar w:fldCharType="end"/>
            </w:r>
          </w:hyperlink>
        </w:p>
        <w:p w:rsidR="00596398" w:rsidRDefault="00EF4338">
          <w:pPr>
            <w:pStyle w:val="TOC1"/>
            <w:tabs>
              <w:tab w:val="left" w:pos="400"/>
              <w:tab w:val="right" w:leader="dot" w:pos="9465"/>
            </w:tabs>
            <w:rPr>
              <w:rFonts w:eastAsiaTheme="minorEastAsia"/>
              <w:noProof/>
              <w:sz w:val="22"/>
              <w:lang w:eastAsia="en-GB"/>
            </w:rPr>
          </w:pPr>
          <w:hyperlink w:anchor="_Toc454229851" w:history="1">
            <w:r w:rsidR="00596398" w:rsidRPr="002900E8">
              <w:rPr>
                <w:rStyle w:val="Hyperlink"/>
                <w:rFonts w:ascii="Calibri" w:hAnsi="Calibri"/>
                <w:noProof/>
              </w:rPr>
              <w:t>3</w:t>
            </w:r>
            <w:r w:rsidR="00596398">
              <w:rPr>
                <w:rFonts w:eastAsiaTheme="minorEastAsia"/>
                <w:noProof/>
                <w:sz w:val="22"/>
                <w:lang w:eastAsia="en-GB"/>
              </w:rPr>
              <w:tab/>
            </w:r>
            <w:r w:rsidR="00596398" w:rsidRPr="002900E8">
              <w:rPr>
                <w:rStyle w:val="Hyperlink"/>
                <w:noProof/>
              </w:rPr>
              <w:t>Topographic survey Technical Requirement</w:t>
            </w:r>
            <w:r w:rsidR="00596398">
              <w:rPr>
                <w:noProof/>
                <w:webHidden/>
              </w:rPr>
              <w:tab/>
            </w:r>
            <w:r w:rsidR="00596398">
              <w:rPr>
                <w:noProof/>
                <w:webHidden/>
              </w:rPr>
              <w:fldChar w:fldCharType="begin"/>
            </w:r>
            <w:r w:rsidR="00596398">
              <w:rPr>
                <w:noProof/>
                <w:webHidden/>
              </w:rPr>
              <w:instrText xml:space="preserve"> PAGEREF _Toc454229851 \h </w:instrText>
            </w:r>
            <w:r w:rsidR="00596398">
              <w:rPr>
                <w:noProof/>
                <w:webHidden/>
              </w:rPr>
            </w:r>
            <w:r w:rsidR="00596398">
              <w:rPr>
                <w:noProof/>
                <w:webHidden/>
              </w:rPr>
              <w:fldChar w:fldCharType="separate"/>
            </w:r>
            <w:r w:rsidR="00CB6EC2">
              <w:rPr>
                <w:noProof/>
                <w:webHidden/>
              </w:rPr>
              <w:t>7</w:t>
            </w:r>
            <w:r w:rsidR="00596398">
              <w:rPr>
                <w:noProof/>
                <w:webHidden/>
              </w:rPr>
              <w:fldChar w:fldCharType="end"/>
            </w:r>
          </w:hyperlink>
        </w:p>
        <w:p w:rsidR="00596398" w:rsidRDefault="00EF4338">
          <w:pPr>
            <w:pStyle w:val="TOC2"/>
            <w:tabs>
              <w:tab w:val="right" w:leader="dot" w:pos="9465"/>
            </w:tabs>
            <w:rPr>
              <w:rFonts w:eastAsiaTheme="minorEastAsia"/>
              <w:noProof/>
              <w:sz w:val="22"/>
              <w:lang w:eastAsia="en-GB"/>
            </w:rPr>
          </w:pPr>
          <w:hyperlink w:anchor="_Toc454229852" w:history="1">
            <w:r w:rsidR="00596398" w:rsidRPr="002900E8">
              <w:rPr>
                <w:rStyle w:val="Hyperlink"/>
                <w:rFonts w:ascii="Calibri" w:hAnsi="Calibri"/>
                <w:noProof/>
              </w:rPr>
              <w:t>3.1</w:t>
            </w:r>
            <w:r w:rsidR="00596398" w:rsidRPr="002900E8">
              <w:rPr>
                <w:rStyle w:val="Hyperlink"/>
                <w:noProof/>
              </w:rPr>
              <w:t xml:space="preserve"> Output</w:t>
            </w:r>
            <w:r w:rsidR="00596398">
              <w:rPr>
                <w:noProof/>
                <w:webHidden/>
              </w:rPr>
              <w:tab/>
            </w:r>
            <w:r w:rsidR="00596398">
              <w:rPr>
                <w:noProof/>
                <w:webHidden/>
              </w:rPr>
              <w:fldChar w:fldCharType="begin"/>
            </w:r>
            <w:r w:rsidR="00596398">
              <w:rPr>
                <w:noProof/>
                <w:webHidden/>
              </w:rPr>
              <w:instrText xml:space="preserve"> PAGEREF _Toc454229852 \h </w:instrText>
            </w:r>
            <w:r w:rsidR="00596398">
              <w:rPr>
                <w:noProof/>
                <w:webHidden/>
              </w:rPr>
            </w:r>
            <w:r w:rsidR="00596398">
              <w:rPr>
                <w:noProof/>
                <w:webHidden/>
              </w:rPr>
              <w:fldChar w:fldCharType="separate"/>
            </w:r>
            <w:r w:rsidR="00CB6EC2">
              <w:rPr>
                <w:noProof/>
                <w:webHidden/>
              </w:rPr>
              <w:t>7</w:t>
            </w:r>
            <w:r w:rsidR="00596398">
              <w:rPr>
                <w:noProof/>
                <w:webHidden/>
              </w:rPr>
              <w:fldChar w:fldCharType="end"/>
            </w:r>
          </w:hyperlink>
        </w:p>
        <w:p w:rsidR="00596398" w:rsidRDefault="00EF4338">
          <w:pPr>
            <w:pStyle w:val="TOC2"/>
            <w:tabs>
              <w:tab w:val="right" w:leader="dot" w:pos="9465"/>
            </w:tabs>
            <w:rPr>
              <w:rFonts w:eastAsiaTheme="minorEastAsia"/>
              <w:noProof/>
              <w:sz w:val="22"/>
              <w:lang w:eastAsia="en-GB"/>
            </w:rPr>
          </w:pPr>
          <w:hyperlink w:anchor="_Toc454229853" w:history="1">
            <w:r w:rsidR="00596398" w:rsidRPr="002900E8">
              <w:rPr>
                <w:rStyle w:val="Hyperlink"/>
                <w:rFonts w:ascii="Calibri" w:hAnsi="Calibri"/>
                <w:noProof/>
              </w:rPr>
              <w:t>3.2</w:t>
            </w:r>
            <w:r w:rsidR="00596398" w:rsidRPr="002900E8">
              <w:rPr>
                <w:rStyle w:val="Hyperlink"/>
                <w:noProof/>
              </w:rPr>
              <w:t xml:space="preserve"> Accuracy</w:t>
            </w:r>
            <w:r w:rsidR="00596398">
              <w:rPr>
                <w:noProof/>
                <w:webHidden/>
              </w:rPr>
              <w:tab/>
            </w:r>
            <w:r w:rsidR="00596398">
              <w:rPr>
                <w:noProof/>
                <w:webHidden/>
              </w:rPr>
              <w:fldChar w:fldCharType="begin"/>
            </w:r>
            <w:r w:rsidR="00596398">
              <w:rPr>
                <w:noProof/>
                <w:webHidden/>
              </w:rPr>
              <w:instrText xml:space="preserve"> PAGEREF _Toc454229853 \h </w:instrText>
            </w:r>
            <w:r w:rsidR="00596398">
              <w:rPr>
                <w:noProof/>
                <w:webHidden/>
              </w:rPr>
            </w:r>
            <w:r w:rsidR="00596398">
              <w:rPr>
                <w:noProof/>
                <w:webHidden/>
              </w:rPr>
              <w:fldChar w:fldCharType="separate"/>
            </w:r>
            <w:r w:rsidR="00CB6EC2">
              <w:rPr>
                <w:noProof/>
                <w:webHidden/>
              </w:rPr>
              <w:t>7</w:t>
            </w:r>
            <w:r w:rsidR="00596398">
              <w:rPr>
                <w:noProof/>
                <w:webHidden/>
              </w:rPr>
              <w:fldChar w:fldCharType="end"/>
            </w:r>
          </w:hyperlink>
        </w:p>
        <w:p w:rsidR="00596398" w:rsidRDefault="00EF4338">
          <w:pPr>
            <w:pStyle w:val="TOC2"/>
            <w:tabs>
              <w:tab w:val="right" w:leader="dot" w:pos="9465"/>
            </w:tabs>
            <w:rPr>
              <w:rFonts w:eastAsiaTheme="minorEastAsia"/>
              <w:noProof/>
              <w:sz w:val="22"/>
              <w:lang w:eastAsia="en-GB"/>
            </w:rPr>
          </w:pPr>
          <w:hyperlink w:anchor="_Toc454229854" w:history="1">
            <w:r w:rsidR="00596398" w:rsidRPr="002900E8">
              <w:rPr>
                <w:rStyle w:val="Hyperlink"/>
                <w:rFonts w:ascii="Calibri" w:hAnsi="Calibri"/>
                <w:noProof/>
              </w:rPr>
              <w:t>3.3</w:t>
            </w:r>
            <w:r w:rsidR="00596398" w:rsidRPr="002900E8">
              <w:rPr>
                <w:rStyle w:val="Hyperlink"/>
                <w:noProof/>
              </w:rPr>
              <w:t xml:space="preserve"> Survey Points Required</w:t>
            </w:r>
            <w:r w:rsidR="00596398">
              <w:rPr>
                <w:noProof/>
                <w:webHidden/>
              </w:rPr>
              <w:tab/>
            </w:r>
            <w:r w:rsidR="00596398">
              <w:rPr>
                <w:noProof/>
                <w:webHidden/>
              </w:rPr>
              <w:fldChar w:fldCharType="begin"/>
            </w:r>
            <w:r w:rsidR="00596398">
              <w:rPr>
                <w:noProof/>
                <w:webHidden/>
              </w:rPr>
              <w:instrText xml:space="preserve"> PAGEREF _Toc454229854 \h </w:instrText>
            </w:r>
            <w:r w:rsidR="00596398">
              <w:rPr>
                <w:noProof/>
                <w:webHidden/>
              </w:rPr>
            </w:r>
            <w:r w:rsidR="00596398">
              <w:rPr>
                <w:noProof/>
                <w:webHidden/>
              </w:rPr>
              <w:fldChar w:fldCharType="separate"/>
            </w:r>
            <w:r w:rsidR="00CB6EC2">
              <w:rPr>
                <w:noProof/>
                <w:webHidden/>
              </w:rPr>
              <w:t>8</w:t>
            </w:r>
            <w:r w:rsidR="00596398">
              <w:rPr>
                <w:noProof/>
                <w:webHidden/>
              </w:rPr>
              <w:fldChar w:fldCharType="end"/>
            </w:r>
          </w:hyperlink>
        </w:p>
        <w:p w:rsidR="00805210" w:rsidRDefault="002D283F" w:rsidP="00FE2F92">
          <w:pPr>
            <w:spacing w:line="240" w:lineRule="auto"/>
          </w:pPr>
          <w:r>
            <w:rPr>
              <w:b/>
              <w:bCs/>
              <w:noProof/>
            </w:rPr>
            <w:fldChar w:fldCharType="end"/>
          </w:r>
        </w:p>
      </w:sdtContent>
    </w:sdt>
    <w:p w:rsidR="00D3719F" w:rsidRDefault="00D3719F">
      <w:pPr>
        <w:rPr>
          <w:b/>
          <w:color w:val="17365D" w:themeColor="text2" w:themeShade="BF"/>
          <w:sz w:val="24"/>
          <w:u w:val="single"/>
        </w:rPr>
      </w:pPr>
      <w:r>
        <w:br w:type="page"/>
      </w:r>
    </w:p>
    <w:p w:rsidR="000A7B08" w:rsidRDefault="00A9516B" w:rsidP="00925068">
      <w:pPr>
        <w:pStyle w:val="Heading1"/>
      </w:pPr>
      <w:bookmarkStart w:id="5" w:name="_Toc454229846"/>
      <w:r>
        <w:lastRenderedPageBreak/>
        <w:t>Introduction</w:t>
      </w:r>
      <w:r w:rsidR="00FF3E00">
        <w:t xml:space="preserve"> and Objectives</w:t>
      </w:r>
      <w:bookmarkEnd w:id="5"/>
    </w:p>
    <w:p w:rsidR="004049B2" w:rsidRDefault="0081595F" w:rsidP="004049B2">
      <w:r>
        <w:t xml:space="preserve">Lower Moors is a wetland site on the island of St. Mary’s, lying within the archipelago of the Isles of Scilly.  </w:t>
      </w:r>
      <w:r w:rsidR="00A9516B">
        <w:t>In Spring 2016</w:t>
      </w:r>
      <w:r>
        <w:t>,</w:t>
      </w:r>
      <w:r w:rsidR="00A9516B">
        <w:t xml:space="preserve"> Milestone Environmental completed a scoping study assessing the requirements for increasing understanding of the surface water hydrology.  </w:t>
      </w:r>
      <w:r w:rsidR="00E94C50">
        <w:t xml:space="preserve">This is with a view to alleviating surface water issues including flooding of the adjacent industrial site; potential water quality issues originating from the waste site; and saline intrusion.  </w:t>
      </w:r>
      <w:r w:rsidR="00A9516B">
        <w:t xml:space="preserve">A primary recommendation was the completion of a </w:t>
      </w:r>
      <w:r w:rsidR="00A7251F">
        <w:t xml:space="preserve">detailed </w:t>
      </w:r>
      <w:r w:rsidR="00A9516B">
        <w:t xml:space="preserve">topographic survey to elucidate flow pathways, flow capacities </w:t>
      </w:r>
      <w:r>
        <w:t xml:space="preserve">of surface drainage channels and structures, </w:t>
      </w:r>
      <w:r w:rsidR="00A9516B">
        <w:t xml:space="preserve">and likely hydro-ecological interactions.  </w:t>
      </w:r>
    </w:p>
    <w:p w:rsidR="00A9516B" w:rsidRPr="004049B2" w:rsidRDefault="00A9516B" w:rsidP="004049B2">
      <w:r>
        <w:t>The current document is a brief for the topographic survey, outlining the scope and technical requirement</w:t>
      </w:r>
      <w:r w:rsidR="00596398">
        <w:t xml:space="preserve"> </w:t>
      </w:r>
      <w:r>
        <w:t>for these works.  It includes a brief introduction to the site for context</w:t>
      </w:r>
      <w:r w:rsidR="0081595F">
        <w:t xml:space="preserve"> (Section</w:t>
      </w:r>
      <w:r w:rsidR="002D283F">
        <w:fldChar w:fldCharType="begin"/>
      </w:r>
      <w:r w:rsidR="00FF3E00">
        <w:instrText xml:space="preserve"> REF _Ref452667430 \r \h </w:instrText>
      </w:r>
      <w:r w:rsidR="002D283F">
        <w:fldChar w:fldCharType="separate"/>
      </w:r>
      <w:r w:rsidR="00CB6EC2">
        <w:t>2</w:t>
      </w:r>
      <w:r w:rsidR="002D283F">
        <w:fldChar w:fldCharType="end"/>
      </w:r>
      <w:r w:rsidR="00FF3E00">
        <w:t xml:space="preserve">).  </w:t>
      </w:r>
      <w:r>
        <w:t xml:space="preserve">Section </w:t>
      </w:r>
      <w:r w:rsidR="002D283F">
        <w:fldChar w:fldCharType="begin"/>
      </w:r>
      <w:r>
        <w:instrText xml:space="preserve"> REF _Ref452646550 \r \h </w:instrText>
      </w:r>
      <w:r w:rsidR="002D283F">
        <w:fldChar w:fldCharType="separate"/>
      </w:r>
      <w:r w:rsidR="00CB6EC2">
        <w:t>3</w:t>
      </w:r>
      <w:r w:rsidR="002D283F">
        <w:fldChar w:fldCharType="end"/>
      </w:r>
      <w:r>
        <w:t xml:space="preserve"> outlines the detailed technical requirements of the survey work, and outlines the deliverables required</w:t>
      </w:r>
      <w:r w:rsidR="0081595F">
        <w:t xml:space="preserve"> by the project.  </w:t>
      </w:r>
    </w:p>
    <w:p w:rsidR="00FF3E00" w:rsidRDefault="00FF3E00" w:rsidP="00FF3E00">
      <w:bookmarkStart w:id="6" w:name="_Ref452646678"/>
      <w:r>
        <w:t>A detailed topographic survey of both the ditches and the wider area is fundamental to the understanding of any wetland site.  From this, calculations will be made to estimate:</w:t>
      </w:r>
    </w:p>
    <w:p w:rsidR="00FF3E00" w:rsidRDefault="00E94C50" w:rsidP="00FF3E00">
      <w:pPr>
        <w:pStyle w:val="ListParagraph"/>
        <w:numPr>
          <w:ilvl w:val="0"/>
          <w:numId w:val="17"/>
        </w:numPr>
        <w:ind w:left="426" w:firstLine="0"/>
      </w:pPr>
      <w:r>
        <w:t xml:space="preserve">Areas contributing flow </w:t>
      </w:r>
      <w:r w:rsidR="00FF3E00">
        <w:t>into the central ditch at the top of the site;</w:t>
      </w:r>
    </w:p>
    <w:p w:rsidR="00FF3E00" w:rsidRDefault="00FF3E00" w:rsidP="00FF3E00">
      <w:pPr>
        <w:pStyle w:val="ListParagraph"/>
        <w:numPr>
          <w:ilvl w:val="0"/>
          <w:numId w:val="17"/>
        </w:numPr>
        <w:ind w:left="709" w:hanging="283"/>
      </w:pPr>
      <w:r>
        <w:t xml:space="preserve">Flow hydraulics through the ditches (central ditch, ring ditches and other minor channels) at given hydraulic gradients within the wetland and adjacent marginal areas; </w:t>
      </w:r>
    </w:p>
    <w:p w:rsidR="00FF3E00" w:rsidRDefault="00E94C50" w:rsidP="00FF3E00">
      <w:pPr>
        <w:pStyle w:val="ListParagraph"/>
        <w:numPr>
          <w:ilvl w:val="0"/>
          <w:numId w:val="17"/>
        </w:numPr>
        <w:ind w:left="426" w:firstLine="0"/>
      </w:pPr>
      <w:r>
        <w:t>Above ground water s</w:t>
      </w:r>
      <w:r w:rsidR="00FF3E00">
        <w:t>torage within the wetland at different water levels</w:t>
      </w:r>
      <w:r>
        <w:t>:</w:t>
      </w:r>
    </w:p>
    <w:p w:rsidR="00FF3E00" w:rsidRDefault="00FF3E00" w:rsidP="00E94C50">
      <w:pPr>
        <w:pStyle w:val="ListParagraph"/>
        <w:numPr>
          <w:ilvl w:val="1"/>
          <w:numId w:val="17"/>
        </w:numPr>
      </w:pPr>
      <w:r>
        <w:t>Within the ditches</w:t>
      </w:r>
    </w:p>
    <w:p w:rsidR="00FF3E00" w:rsidRDefault="00FF3E00" w:rsidP="00FF3E00">
      <w:pPr>
        <w:pStyle w:val="ListParagraph"/>
        <w:numPr>
          <w:ilvl w:val="1"/>
          <w:numId w:val="17"/>
        </w:numPr>
      </w:pPr>
      <w:r>
        <w:t>Across the wetland surface;</w:t>
      </w:r>
    </w:p>
    <w:p w:rsidR="00A7251F" w:rsidRDefault="00E94C50" w:rsidP="00832312">
      <w:pPr>
        <w:pStyle w:val="ListParagraph"/>
        <w:numPr>
          <w:ilvl w:val="0"/>
          <w:numId w:val="14"/>
        </w:numPr>
        <w:ind w:left="426" w:firstLine="0"/>
      </w:pPr>
      <w:r>
        <w:t>Assessment of the p</w:t>
      </w:r>
      <w:r w:rsidR="00FF3E00">
        <w:t xml:space="preserve">otential for runoff </w:t>
      </w:r>
      <w:r>
        <w:t xml:space="preserve">generation </w:t>
      </w:r>
      <w:r w:rsidR="00FF3E00">
        <w:t>from and the industrial and waste sites</w:t>
      </w:r>
      <w:r>
        <w:t xml:space="preserve">, and the </w:t>
      </w:r>
      <w:r w:rsidR="00FF3E00">
        <w:t>potential</w:t>
      </w:r>
      <w:r>
        <w:t xml:space="preserve"> </w:t>
      </w:r>
      <w:r w:rsidR="00FF3E00">
        <w:t>for storage of this runoff</w:t>
      </w:r>
      <w:r>
        <w:t xml:space="preserve"> in these sites and the wetland itself</w:t>
      </w:r>
      <w:r w:rsidR="00FF3E00">
        <w:t xml:space="preserve">; </w:t>
      </w:r>
    </w:p>
    <w:p w:rsidR="00FF3E00" w:rsidRDefault="00E94C50" w:rsidP="00A7251F">
      <w:pPr>
        <w:pStyle w:val="ListParagraph"/>
        <w:numPr>
          <w:ilvl w:val="0"/>
          <w:numId w:val="14"/>
        </w:numPr>
        <w:ind w:left="709" w:hanging="283"/>
      </w:pPr>
      <w:r>
        <w:t>Identify transmission pathways for saline intrusion and pollution</w:t>
      </w:r>
      <w:r w:rsidR="00A7251F">
        <w:t xml:space="preserve">; </w:t>
      </w:r>
      <w:r w:rsidR="00FF3E00">
        <w:t>and</w:t>
      </w:r>
    </w:p>
    <w:p w:rsidR="00FF3E00" w:rsidRDefault="00FF3E00" w:rsidP="00FF3E00">
      <w:pPr>
        <w:pStyle w:val="ListParagraph"/>
        <w:numPr>
          <w:ilvl w:val="0"/>
          <w:numId w:val="14"/>
        </w:numPr>
        <w:ind w:left="709" w:hanging="283"/>
      </w:pPr>
      <w:r>
        <w:t>Culvert outlet flow at diffe</w:t>
      </w:r>
      <w:r w:rsidR="00A7251F">
        <w:t xml:space="preserve">rent water levels.  </w:t>
      </w:r>
    </w:p>
    <w:p w:rsidR="005C0010" w:rsidRDefault="005C0010">
      <w:pPr>
        <w:rPr>
          <w:b/>
          <w:color w:val="17365D" w:themeColor="text2" w:themeShade="BF"/>
          <w:sz w:val="24"/>
          <w:u w:val="single"/>
        </w:rPr>
      </w:pPr>
      <w:r>
        <w:br w:type="page"/>
      </w:r>
    </w:p>
    <w:p w:rsidR="00FF2B33" w:rsidRDefault="00C76686" w:rsidP="004049B2">
      <w:pPr>
        <w:pStyle w:val="Heading1"/>
      </w:pPr>
      <w:bookmarkStart w:id="7" w:name="_Ref452667430"/>
      <w:bookmarkStart w:id="8" w:name="_Toc454229847"/>
      <w:r>
        <w:lastRenderedPageBreak/>
        <w:t>Site Introduction</w:t>
      </w:r>
      <w:bookmarkEnd w:id="6"/>
      <w:bookmarkEnd w:id="7"/>
      <w:bookmarkEnd w:id="8"/>
    </w:p>
    <w:p w:rsidR="004049B2" w:rsidRPr="004049B2" w:rsidRDefault="00C76686" w:rsidP="004049B2">
      <w:pPr>
        <w:pStyle w:val="Heading2"/>
      </w:pPr>
      <w:bookmarkStart w:id="9" w:name="_Toc454229848"/>
      <w:r>
        <w:t>Description</w:t>
      </w:r>
      <w:bookmarkEnd w:id="9"/>
    </w:p>
    <w:p w:rsidR="00A23FAC" w:rsidRDefault="00880054" w:rsidP="00A23FAC">
      <w:r>
        <w:t>The Lower Moors wetland sit</w:t>
      </w:r>
      <w:r w:rsidR="00C76686">
        <w:t xml:space="preserve">e is a </w:t>
      </w:r>
      <w:r w:rsidR="004D00D0">
        <w:t xml:space="preserve">designated a </w:t>
      </w:r>
      <w:r w:rsidR="004D00D0">
        <w:rPr>
          <w:rFonts w:cs="Levenim MT"/>
        </w:rPr>
        <w:t xml:space="preserve">Site of Special Scientific Interest (SSSI; </w:t>
      </w:r>
      <w:r w:rsidR="00C76686">
        <w:t>Natural England, 1976)</w:t>
      </w:r>
      <w:r w:rsidR="0081595F">
        <w:t xml:space="preserve">.  </w:t>
      </w:r>
      <w:r w:rsidR="005C0010">
        <w:t xml:space="preserve">It lies immediately to the east of Hugh Town on the island of St Mary’s, on the Isles of Scilly.  It is 10.2 ha in extent, and the </w:t>
      </w:r>
      <w:r w:rsidR="00F850C7">
        <w:t>entire</w:t>
      </w:r>
      <w:r w:rsidR="00A23FAC">
        <w:t xml:space="preserve"> site lies at less than 5 maOD.  The western boundary is the extent of Hugh Town, buffered only by the</w:t>
      </w:r>
      <w:r w:rsidR="0081595F">
        <w:t xml:space="preserve"> island’s</w:t>
      </w:r>
      <w:r w:rsidR="00A23FAC">
        <w:t xml:space="preserve"> waste site.  To the northeast, a small industrial estate drains towards the site, beyond which lies</w:t>
      </w:r>
      <w:r w:rsidR="00832312">
        <w:t xml:space="preserve"> </w:t>
      </w:r>
      <w:r w:rsidR="00A23FAC">
        <w:t xml:space="preserve">Porth Mellon beach.  Small areas of pasture lie to the southern fringes, becoming more extensive to the east and northeast.  The site </w:t>
      </w:r>
      <w:r w:rsidR="00A23FAC" w:rsidRPr="005E2C41">
        <w:t xml:space="preserve">boundary is shown in </w:t>
      </w:r>
      <w:r w:rsidR="00D81562">
        <w:fldChar w:fldCharType="begin"/>
      </w:r>
      <w:r w:rsidR="00D81562">
        <w:instrText xml:space="preserve"> REF _Ref445925676 \h  \* MERGEFORMAT </w:instrText>
      </w:r>
      <w:r w:rsidR="00D81562">
        <w:fldChar w:fldCharType="separate"/>
      </w:r>
      <w:r w:rsidR="00CB6EC2" w:rsidRPr="00CB6EC2">
        <w:t>Figure 1</w:t>
      </w:r>
      <w:r w:rsidR="00D81562">
        <w:fldChar w:fldCharType="end"/>
      </w:r>
      <w:r w:rsidR="00A23FAC" w:rsidRPr="005E2C41">
        <w:t>, together</w:t>
      </w:r>
      <w:r w:rsidR="00A23FAC">
        <w:t xml:space="preserve"> with the industrial and waste sites.  </w:t>
      </w:r>
      <w:r w:rsidR="005C179B">
        <w:t xml:space="preserve">A view of the site from Hugh Town is shown in </w:t>
      </w:r>
      <w:r w:rsidR="00D81562">
        <w:fldChar w:fldCharType="begin"/>
      </w:r>
      <w:r w:rsidR="00D81562">
        <w:instrText xml:space="preserve"> REF _Ref446694399 \h  \* MERGEFORMAT </w:instrText>
      </w:r>
      <w:r w:rsidR="00D81562">
        <w:fldChar w:fldCharType="separate"/>
      </w:r>
      <w:r w:rsidR="00CB6EC2" w:rsidRPr="00CB6EC2">
        <w:t>Figure 2</w:t>
      </w:r>
      <w:r w:rsidR="00D81562">
        <w:fldChar w:fldCharType="end"/>
      </w:r>
      <w:r w:rsidR="005C179B">
        <w:t>.</w:t>
      </w:r>
    </w:p>
    <w:p w:rsidR="005C179B" w:rsidRDefault="00267B39" w:rsidP="00267B39">
      <w:r>
        <w:t xml:space="preserve">The wetland has formed in the ‘bowl’-shaped enclosure formed </w:t>
      </w:r>
      <w:r w:rsidR="00511F51">
        <w:t xml:space="preserve">at the base of the surrounding </w:t>
      </w:r>
      <w:r w:rsidR="005C179B">
        <w:t xml:space="preserve">hillslopes.  </w:t>
      </w:r>
      <w:r w:rsidR="00511F51">
        <w:t>The drainage from Lowe</w:t>
      </w:r>
      <w:r w:rsidR="0081595F">
        <w:t>r Moors is naturally restricted, and the entire</w:t>
      </w:r>
      <w:r w:rsidR="009D7E30">
        <w:t xml:space="preserve"> site drains south to the sea at Old Town. </w:t>
      </w:r>
    </w:p>
    <w:p w:rsidR="003F7BD9" w:rsidRDefault="003F7BD9" w:rsidP="004913C2">
      <w:pPr>
        <w:jc w:val="center"/>
      </w:pPr>
      <w:r>
        <w:rPr>
          <w:noProof/>
          <w:lang w:eastAsia="en-GB"/>
        </w:rPr>
        <w:drawing>
          <wp:inline distT="0" distB="0" distL="0" distR="0">
            <wp:extent cx="3827111" cy="3709359"/>
            <wp:effectExtent l="19050" t="19050" r="21590" b="24765"/>
            <wp:docPr id="23" name="Picture 22" descr="Lower Moors Map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wer Moors Map.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31684" cy="371379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40323" w:rsidRPr="00A23FAC" w:rsidRDefault="00516951" w:rsidP="00A23FAC">
      <w:pPr>
        <w:rPr>
          <w:b/>
          <w:color w:val="1F497D" w:themeColor="text2"/>
        </w:rPr>
      </w:pPr>
      <w:bookmarkStart w:id="10" w:name="_Ref445925676"/>
      <w:r w:rsidRPr="00A23FAC">
        <w:rPr>
          <w:b/>
          <w:color w:val="1F497D" w:themeColor="text2"/>
        </w:rPr>
        <w:t xml:space="preserve">Figure </w:t>
      </w:r>
      <w:r w:rsidR="002D283F" w:rsidRPr="00A23FAC">
        <w:rPr>
          <w:b/>
          <w:color w:val="1F497D" w:themeColor="text2"/>
        </w:rPr>
        <w:fldChar w:fldCharType="begin"/>
      </w:r>
      <w:r w:rsidR="00A14516" w:rsidRPr="00A23FAC">
        <w:rPr>
          <w:b/>
          <w:color w:val="1F497D" w:themeColor="text2"/>
        </w:rPr>
        <w:instrText xml:space="preserve"> SEQ Figure \* ARABIC </w:instrText>
      </w:r>
      <w:r w:rsidR="002D283F" w:rsidRPr="00A23FAC">
        <w:rPr>
          <w:b/>
          <w:color w:val="1F497D" w:themeColor="text2"/>
        </w:rPr>
        <w:fldChar w:fldCharType="separate"/>
      </w:r>
      <w:r w:rsidR="00CB6EC2">
        <w:rPr>
          <w:b/>
          <w:noProof/>
          <w:color w:val="1F497D" w:themeColor="text2"/>
        </w:rPr>
        <w:t>1</w:t>
      </w:r>
      <w:r w:rsidR="002D283F" w:rsidRPr="00A23FAC">
        <w:rPr>
          <w:b/>
          <w:color w:val="1F497D" w:themeColor="text2"/>
        </w:rPr>
        <w:fldChar w:fldCharType="end"/>
      </w:r>
      <w:bookmarkEnd w:id="10"/>
      <w:r w:rsidR="004913C2">
        <w:rPr>
          <w:b/>
          <w:color w:val="1F497D" w:themeColor="text2"/>
        </w:rPr>
        <w:t>–</w:t>
      </w:r>
      <w:r w:rsidRPr="00A23FAC">
        <w:rPr>
          <w:b/>
          <w:color w:val="1F497D" w:themeColor="text2"/>
        </w:rPr>
        <w:t xml:space="preserve"> Satellite image of the site, with site boundary marked</w:t>
      </w:r>
      <w:r w:rsidR="00321E09">
        <w:rPr>
          <w:b/>
          <w:color w:val="1F497D" w:themeColor="text2"/>
        </w:rPr>
        <w:t xml:space="preserve"> in red, industrial site in blue and the waste site in yellow.  </w:t>
      </w:r>
      <w:r w:rsidR="00816B4C">
        <w:rPr>
          <w:b/>
          <w:color w:val="1F497D" w:themeColor="text2"/>
        </w:rPr>
        <w:t xml:space="preserve">Map data © </w:t>
      </w:r>
      <w:r w:rsidR="00816B4C" w:rsidRPr="00A23FAC">
        <w:rPr>
          <w:b/>
          <w:color w:val="1F497D" w:themeColor="text2"/>
        </w:rPr>
        <w:t>2016</w:t>
      </w:r>
      <w:r w:rsidR="00596398">
        <w:rPr>
          <w:b/>
          <w:color w:val="1F497D" w:themeColor="text2"/>
        </w:rPr>
        <w:t xml:space="preserve"> </w:t>
      </w:r>
      <w:r w:rsidR="003F7BD9" w:rsidRPr="00A23FAC">
        <w:rPr>
          <w:b/>
          <w:color w:val="1F497D" w:themeColor="text2"/>
        </w:rPr>
        <w:t>Google; approximate site boundary taken from Natural England (2016)</w:t>
      </w:r>
    </w:p>
    <w:p w:rsidR="00AE30D7" w:rsidRDefault="00AE30D7" w:rsidP="000070F3"/>
    <w:p w:rsidR="00FA0CBA" w:rsidRDefault="00FA0CBA" w:rsidP="00FA0CBA">
      <w:pPr>
        <w:jc w:val="center"/>
      </w:pPr>
      <w:r>
        <w:rPr>
          <w:noProof/>
          <w:lang w:eastAsia="en-GB"/>
        </w:rPr>
        <w:lastRenderedPageBreak/>
        <w:drawing>
          <wp:inline distT="0" distB="0" distL="0" distR="0">
            <wp:extent cx="4320000" cy="2862647"/>
            <wp:effectExtent l="19050" t="19050" r="23400" b="13903"/>
            <wp:docPr id="5" name="Picture 4" descr="DSC_2518_P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2518_P2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86264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A0CBA" w:rsidRPr="004049B2" w:rsidRDefault="00FA0CBA" w:rsidP="004049B2">
      <w:pPr>
        <w:rPr>
          <w:b/>
          <w:color w:val="1F497D" w:themeColor="text2"/>
        </w:rPr>
      </w:pPr>
      <w:bookmarkStart w:id="11" w:name="_Ref446694399"/>
      <w:r w:rsidRPr="004049B2">
        <w:rPr>
          <w:b/>
          <w:color w:val="1F497D" w:themeColor="text2"/>
        </w:rPr>
        <w:t xml:space="preserve">Figure </w:t>
      </w:r>
      <w:r w:rsidR="002D283F" w:rsidRPr="004049B2">
        <w:rPr>
          <w:b/>
          <w:color w:val="1F497D" w:themeColor="text2"/>
        </w:rPr>
        <w:fldChar w:fldCharType="begin"/>
      </w:r>
      <w:r w:rsidRPr="004049B2">
        <w:rPr>
          <w:b/>
          <w:color w:val="1F497D" w:themeColor="text2"/>
        </w:rPr>
        <w:instrText xml:space="preserve"> SEQ Figure \* ARABIC </w:instrText>
      </w:r>
      <w:r w:rsidR="002D283F" w:rsidRPr="004049B2">
        <w:rPr>
          <w:b/>
          <w:color w:val="1F497D" w:themeColor="text2"/>
        </w:rPr>
        <w:fldChar w:fldCharType="separate"/>
      </w:r>
      <w:r w:rsidR="00CB6EC2">
        <w:rPr>
          <w:b/>
          <w:noProof/>
          <w:color w:val="1F497D" w:themeColor="text2"/>
        </w:rPr>
        <w:t>2</w:t>
      </w:r>
      <w:r w:rsidR="002D283F" w:rsidRPr="004049B2">
        <w:rPr>
          <w:b/>
          <w:color w:val="1F497D" w:themeColor="text2"/>
        </w:rPr>
        <w:fldChar w:fldCharType="end"/>
      </w:r>
      <w:bookmarkEnd w:id="11"/>
      <w:r w:rsidRPr="004049B2">
        <w:rPr>
          <w:b/>
          <w:color w:val="1F497D" w:themeColor="text2"/>
        </w:rPr>
        <w:t>–The northern extent of wetland site, looking east from Hugh Town</w:t>
      </w:r>
    </w:p>
    <w:p w:rsidR="00AE30D7" w:rsidRDefault="00AE30D7"/>
    <w:p w:rsidR="00AE30D7" w:rsidRDefault="00AE30D7" w:rsidP="00AE30D7">
      <w:pPr>
        <w:pStyle w:val="Heading2"/>
      </w:pPr>
      <w:bookmarkStart w:id="12" w:name="_Ref446700611"/>
      <w:bookmarkStart w:id="13" w:name="_Toc454229849"/>
      <w:r>
        <w:t xml:space="preserve">Site </w:t>
      </w:r>
      <w:r w:rsidR="00A55215">
        <w:t xml:space="preserve">Ownership and </w:t>
      </w:r>
      <w:r>
        <w:t>Responsibilities</w:t>
      </w:r>
      <w:bookmarkEnd w:id="12"/>
      <w:bookmarkEnd w:id="13"/>
    </w:p>
    <w:p w:rsidR="00AE30D7" w:rsidRDefault="00A55215" w:rsidP="00AE30D7">
      <w:r>
        <w:t xml:space="preserve">The leasehold of the land is held by the Duchy of Cornwall, and the site is leased to and managed by IoSWT.  </w:t>
      </w:r>
      <w:r w:rsidR="00AE30D7">
        <w:t xml:space="preserve">The </w:t>
      </w:r>
      <w:r w:rsidR="00AE30D7" w:rsidRPr="00C96C27">
        <w:t xml:space="preserve">local unitary authority, </w:t>
      </w:r>
      <w:r w:rsidR="00293334">
        <w:t>CIoS,</w:t>
      </w:r>
      <w:r w:rsidR="00AE30D7" w:rsidRPr="00C96C27">
        <w:t xml:space="preserve"> has responsibility for </w:t>
      </w:r>
      <w:r w:rsidR="00C96C27">
        <w:t xml:space="preserve">permitting development and </w:t>
      </w:r>
      <w:r w:rsidR="00AE30D7" w:rsidRPr="00C96C27">
        <w:t>flood management</w:t>
      </w:r>
      <w:r w:rsidR="00C96C27">
        <w:t>,</w:t>
      </w:r>
      <w:r w:rsidR="00AE30D7" w:rsidRPr="00C96C27">
        <w:t xml:space="preserve"> and thus has a vested interest in effective management</w:t>
      </w:r>
      <w:r w:rsidR="00C96C27" w:rsidRPr="00C96C27">
        <w:t>; the wetland also lies entirely with</w:t>
      </w:r>
      <w:r w:rsidR="00293334">
        <w:t>in the AONB,</w:t>
      </w:r>
      <w:r w:rsidR="00C96C27" w:rsidRPr="00C96C27">
        <w:t xml:space="preserve"> for which CIoS are responsible</w:t>
      </w:r>
      <w:r w:rsidR="00C96C27">
        <w:t>.</w:t>
      </w:r>
      <w:r w:rsidR="00AE30D7">
        <w:t xml:space="preserve">  Natural </w:t>
      </w:r>
      <w:r w:rsidR="00AE30D7" w:rsidRPr="00C96C27">
        <w:t>England enforce</w:t>
      </w:r>
      <w:r w:rsidR="00C96C27">
        <w:t>s</w:t>
      </w:r>
      <w:r w:rsidR="00AE30D7" w:rsidRPr="00C96C27">
        <w:t xml:space="preserve"> the protection of designated sites, and thus gives consent for changing management activities.</w:t>
      </w:r>
      <w:r w:rsidR="00C76686">
        <w:t xml:space="preserve">  Milestone Environmental have written a scoping study of the surface water management requirements of the site, including completion of a site survey; taking this further they have written the brief for the topographic survey given the knowledge of the site and adjacent areas.  </w:t>
      </w:r>
    </w:p>
    <w:p w:rsidR="00C76686" w:rsidRDefault="00C76686" w:rsidP="00C76686">
      <w:pPr>
        <w:pStyle w:val="Heading2"/>
      </w:pPr>
      <w:bookmarkStart w:id="14" w:name="_Toc454229850"/>
      <w:bookmarkStart w:id="15" w:name="_Ref446716108"/>
      <w:r>
        <w:t>Access</w:t>
      </w:r>
      <w:bookmarkEnd w:id="14"/>
    </w:p>
    <w:p w:rsidR="00C66374" w:rsidRDefault="00C76686">
      <w:r>
        <w:t>Vegetation coverage can be dense and thus pr</w:t>
      </w:r>
      <w:r w:rsidR="005C0010">
        <w:t xml:space="preserve">event access: this is considered to be most </w:t>
      </w:r>
      <w:r w:rsidR="00FF3E00">
        <w:t>restrictive</w:t>
      </w:r>
      <w:r w:rsidR="005C0010">
        <w:t xml:space="preserve"> in Spring and summer months: overhead vegetation cover may also restrict GPS coverage</w:t>
      </w:r>
      <w:r w:rsidR="00FF3E00">
        <w:t xml:space="preserve"> through the year</w:t>
      </w:r>
      <w:r w:rsidR="005C0010">
        <w:t xml:space="preserve">.  A high proportion of the site is likely to be saturated, again making access difficult.  This is likely to be least problematic in the late summer.  </w:t>
      </w:r>
    </w:p>
    <w:p w:rsidR="005C0010" w:rsidRDefault="005C0010">
      <w:pPr>
        <w:rPr>
          <w:b/>
          <w:color w:val="17365D" w:themeColor="text2" w:themeShade="BF"/>
          <w:sz w:val="24"/>
        </w:rPr>
      </w:pPr>
    </w:p>
    <w:p w:rsidR="005C0010" w:rsidRDefault="005C0010">
      <w:pPr>
        <w:rPr>
          <w:b/>
          <w:color w:val="17365D" w:themeColor="text2" w:themeShade="BF"/>
          <w:sz w:val="24"/>
          <w:u w:val="single"/>
        </w:rPr>
      </w:pPr>
      <w:bookmarkStart w:id="16" w:name="_Ref452646690"/>
      <w:bookmarkEnd w:id="15"/>
      <w:r>
        <w:br w:type="page"/>
      </w:r>
    </w:p>
    <w:p w:rsidR="00774EF7" w:rsidRPr="00C76686" w:rsidRDefault="00B0782C" w:rsidP="00A03103">
      <w:pPr>
        <w:pStyle w:val="Heading1"/>
      </w:pPr>
      <w:bookmarkStart w:id="17" w:name="_Ref452646550"/>
      <w:bookmarkStart w:id="18" w:name="_Toc454229851"/>
      <w:bookmarkEnd w:id="16"/>
      <w:r w:rsidRPr="00C76686">
        <w:lastRenderedPageBreak/>
        <w:t xml:space="preserve">Topographic survey </w:t>
      </w:r>
      <w:r w:rsidR="00A03103">
        <w:t>Technical Requirement</w:t>
      </w:r>
      <w:bookmarkEnd w:id="17"/>
      <w:bookmarkEnd w:id="18"/>
    </w:p>
    <w:p w:rsidR="00A7251F" w:rsidRDefault="00A7251F" w:rsidP="00A7251F">
      <w:pPr>
        <w:pStyle w:val="Heading2"/>
      </w:pPr>
      <w:bookmarkStart w:id="19" w:name="_Toc454229852"/>
      <w:r>
        <w:t>Output</w:t>
      </w:r>
      <w:bookmarkEnd w:id="19"/>
    </w:p>
    <w:p w:rsidR="002A03DC" w:rsidRDefault="002A03DC" w:rsidP="002A03DC">
      <w:r>
        <w:t>Prior to work commencing, the following should be provided:</w:t>
      </w:r>
    </w:p>
    <w:p w:rsidR="002A03DC" w:rsidRDefault="002A03DC" w:rsidP="002A03DC">
      <w:pPr>
        <w:pStyle w:val="ListParagraph"/>
        <w:numPr>
          <w:ilvl w:val="0"/>
          <w:numId w:val="27"/>
        </w:numPr>
        <w:rPr>
          <w:rFonts w:ascii="Calibri" w:eastAsia="Times New Roman" w:hAnsi="Calibri" w:cs="Times New Roman"/>
          <w:color w:val="000000"/>
          <w:szCs w:val="20"/>
          <w:lang w:eastAsia="en-GB"/>
        </w:rPr>
      </w:pPr>
      <w:r w:rsidRPr="00A7251F">
        <w:rPr>
          <w:rFonts w:ascii="Calibri" w:eastAsia="Times New Roman" w:hAnsi="Calibri" w:cs="Times New Roman"/>
          <w:color w:val="000000"/>
          <w:szCs w:val="20"/>
          <w:lang w:eastAsia="en-GB"/>
        </w:rPr>
        <w:t xml:space="preserve">Risk assessment </w:t>
      </w:r>
      <w:r>
        <w:rPr>
          <w:rFonts w:ascii="Calibri" w:eastAsia="Times New Roman" w:hAnsi="Calibri" w:cs="Times New Roman"/>
          <w:color w:val="000000"/>
          <w:szCs w:val="20"/>
          <w:lang w:eastAsia="en-GB"/>
        </w:rPr>
        <w:t>outlining perceived operational risks and appropriate mitigation.  Known site risks include:</w:t>
      </w:r>
    </w:p>
    <w:p w:rsidR="002A03DC" w:rsidRDefault="002A03DC" w:rsidP="002A03DC">
      <w:pPr>
        <w:pStyle w:val="ListParagraph"/>
        <w:numPr>
          <w:ilvl w:val="1"/>
          <w:numId w:val="27"/>
        </w:numPr>
        <w:rPr>
          <w:rFonts w:ascii="Calibri" w:eastAsia="Times New Roman" w:hAnsi="Calibri" w:cs="Times New Roman"/>
          <w:color w:val="000000"/>
          <w:szCs w:val="20"/>
          <w:lang w:eastAsia="en-GB"/>
        </w:rPr>
      </w:pPr>
      <w:r>
        <w:rPr>
          <w:rFonts w:ascii="Calibri" w:eastAsia="Times New Roman" w:hAnsi="Calibri" w:cs="Times New Roman"/>
          <w:color w:val="000000"/>
          <w:szCs w:val="20"/>
          <w:lang w:eastAsia="en-GB"/>
        </w:rPr>
        <w:t>Open water;</w:t>
      </w:r>
    </w:p>
    <w:p w:rsidR="002A03DC" w:rsidRDefault="002A03DC" w:rsidP="002A03DC">
      <w:pPr>
        <w:pStyle w:val="ListParagraph"/>
        <w:numPr>
          <w:ilvl w:val="1"/>
          <w:numId w:val="27"/>
        </w:numPr>
        <w:rPr>
          <w:rFonts w:ascii="Calibri" w:eastAsia="Times New Roman" w:hAnsi="Calibri" w:cs="Times New Roman"/>
          <w:color w:val="000000"/>
          <w:szCs w:val="20"/>
          <w:lang w:eastAsia="en-GB"/>
        </w:rPr>
      </w:pPr>
      <w:r>
        <w:rPr>
          <w:rFonts w:ascii="Calibri" w:eastAsia="Times New Roman" w:hAnsi="Calibri" w:cs="Times New Roman"/>
          <w:color w:val="000000"/>
          <w:szCs w:val="20"/>
          <w:lang w:eastAsia="en-GB"/>
        </w:rPr>
        <w:t>Overhead high voltage power lines;</w:t>
      </w:r>
    </w:p>
    <w:p w:rsidR="002A03DC" w:rsidRPr="00A7251F" w:rsidRDefault="002A03DC" w:rsidP="002A03DC">
      <w:pPr>
        <w:pStyle w:val="ListParagraph"/>
        <w:numPr>
          <w:ilvl w:val="0"/>
          <w:numId w:val="27"/>
        </w:numPr>
        <w:rPr>
          <w:rFonts w:ascii="Calibri" w:eastAsia="Times New Roman" w:hAnsi="Calibri" w:cs="Times New Roman"/>
          <w:color w:val="000000"/>
          <w:szCs w:val="20"/>
          <w:lang w:eastAsia="en-GB"/>
        </w:rPr>
      </w:pPr>
      <w:r>
        <w:rPr>
          <w:rFonts w:ascii="Calibri" w:eastAsia="Times New Roman" w:hAnsi="Calibri" w:cs="Times New Roman"/>
          <w:color w:val="000000"/>
          <w:szCs w:val="20"/>
          <w:lang w:eastAsia="en-GB"/>
        </w:rPr>
        <w:t>M</w:t>
      </w:r>
      <w:r w:rsidRPr="00A7251F">
        <w:rPr>
          <w:rFonts w:ascii="Calibri" w:eastAsia="Times New Roman" w:hAnsi="Calibri" w:cs="Times New Roman"/>
          <w:color w:val="000000"/>
          <w:szCs w:val="20"/>
          <w:lang w:eastAsia="en-GB"/>
        </w:rPr>
        <w:t xml:space="preserve">ethod statement required </w:t>
      </w:r>
      <w:r w:rsidRPr="00A7251F">
        <w:rPr>
          <w:rFonts w:ascii="Calibri" w:eastAsia="Times New Roman" w:hAnsi="Calibri" w:cs="Times New Roman"/>
          <w:i/>
          <w:iCs/>
          <w:color w:val="000000"/>
          <w:szCs w:val="20"/>
          <w:lang w:eastAsia="en-GB"/>
        </w:rPr>
        <w:t>before</w:t>
      </w:r>
      <w:r w:rsidRPr="00A7251F">
        <w:rPr>
          <w:rFonts w:ascii="Calibri" w:eastAsia="Times New Roman" w:hAnsi="Calibri" w:cs="Times New Roman"/>
          <w:color w:val="000000"/>
          <w:szCs w:val="20"/>
          <w:lang w:eastAsia="en-GB"/>
        </w:rPr>
        <w:t xml:space="preserve"> commencing work</w:t>
      </w:r>
      <w:r>
        <w:rPr>
          <w:rFonts w:ascii="Calibri" w:eastAsia="Times New Roman" w:hAnsi="Calibri" w:cs="Times New Roman"/>
          <w:color w:val="000000"/>
          <w:szCs w:val="20"/>
          <w:lang w:eastAsia="en-GB"/>
        </w:rPr>
        <w:t>, outlining a planned technical approach and logistics</w:t>
      </w:r>
      <w:r w:rsidRPr="00A7251F">
        <w:rPr>
          <w:rFonts w:ascii="Calibri" w:eastAsia="Times New Roman" w:hAnsi="Calibri" w:cs="Times New Roman"/>
          <w:color w:val="000000"/>
          <w:szCs w:val="20"/>
          <w:lang w:eastAsia="en-GB"/>
        </w:rPr>
        <w:t>.</w:t>
      </w:r>
    </w:p>
    <w:p w:rsidR="002A03DC" w:rsidRPr="004D6E23" w:rsidRDefault="002A03DC" w:rsidP="002A03DC">
      <w:pPr>
        <w:rPr>
          <w:rFonts w:ascii="Calibri" w:eastAsia="Times New Roman" w:hAnsi="Calibri" w:cs="Times New Roman"/>
          <w:color w:val="000000"/>
          <w:szCs w:val="20"/>
          <w:lang w:eastAsia="en-GB"/>
        </w:rPr>
      </w:pPr>
      <w:r>
        <w:rPr>
          <w:rFonts w:ascii="Calibri" w:eastAsia="Times New Roman" w:hAnsi="Calibri" w:cs="Times New Roman"/>
          <w:color w:val="000000"/>
          <w:szCs w:val="20"/>
          <w:lang w:eastAsia="en-GB"/>
        </w:rPr>
        <w:t>Upon completion, delivery should be provided of the following within one calendar month:</w:t>
      </w:r>
    </w:p>
    <w:p w:rsidR="002A03DC" w:rsidRDefault="002A03DC" w:rsidP="002A03DC">
      <w:pPr>
        <w:pStyle w:val="ListParagraph"/>
        <w:numPr>
          <w:ilvl w:val="0"/>
          <w:numId w:val="28"/>
        </w:numPr>
        <w:rPr>
          <w:rFonts w:ascii="Calibri" w:eastAsia="Times New Roman" w:hAnsi="Calibri" w:cs="Times New Roman"/>
          <w:color w:val="000000"/>
          <w:szCs w:val="20"/>
          <w:lang w:eastAsia="en-GB"/>
        </w:rPr>
      </w:pPr>
      <w:r w:rsidRPr="00A7251F">
        <w:rPr>
          <w:rFonts w:ascii="Calibri" w:eastAsia="Times New Roman" w:hAnsi="Calibri" w:cs="Times New Roman"/>
          <w:color w:val="000000"/>
          <w:szCs w:val="20"/>
          <w:lang w:eastAsia="en-GB"/>
        </w:rPr>
        <w:t>Short report</w:t>
      </w:r>
      <w:r>
        <w:rPr>
          <w:rFonts w:ascii="Calibri" w:eastAsia="Times New Roman" w:hAnsi="Calibri" w:cs="Times New Roman"/>
          <w:color w:val="000000"/>
          <w:szCs w:val="20"/>
          <w:lang w:eastAsia="en-GB"/>
        </w:rPr>
        <w:t>, including:</w:t>
      </w:r>
    </w:p>
    <w:p w:rsidR="002A03DC" w:rsidRDefault="002A03DC" w:rsidP="002A03DC">
      <w:pPr>
        <w:pStyle w:val="ListParagraph"/>
        <w:numPr>
          <w:ilvl w:val="1"/>
          <w:numId w:val="28"/>
        </w:numPr>
        <w:rPr>
          <w:rFonts w:ascii="Calibri" w:eastAsia="Times New Roman" w:hAnsi="Calibri" w:cs="Times New Roman"/>
          <w:color w:val="000000"/>
          <w:szCs w:val="20"/>
          <w:lang w:eastAsia="en-GB"/>
        </w:rPr>
      </w:pPr>
      <w:r>
        <w:rPr>
          <w:rFonts w:ascii="Calibri" w:eastAsia="Times New Roman" w:hAnsi="Calibri" w:cs="Times New Roman"/>
          <w:color w:val="000000"/>
          <w:szCs w:val="20"/>
          <w:lang w:eastAsia="en-GB"/>
        </w:rPr>
        <w:t>Survey conditions;</w:t>
      </w:r>
    </w:p>
    <w:p w:rsidR="002A03DC" w:rsidRPr="00A7251F" w:rsidRDefault="002A03DC" w:rsidP="002A03DC">
      <w:pPr>
        <w:pStyle w:val="ListParagraph"/>
        <w:numPr>
          <w:ilvl w:val="1"/>
          <w:numId w:val="28"/>
        </w:numPr>
        <w:rPr>
          <w:rFonts w:ascii="Calibri" w:eastAsia="Times New Roman" w:hAnsi="Calibri" w:cs="Times New Roman"/>
          <w:color w:val="000000"/>
          <w:szCs w:val="20"/>
          <w:lang w:eastAsia="en-GB"/>
        </w:rPr>
      </w:pPr>
      <w:r>
        <w:rPr>
          <w:rFonts w:ascii="Calibri" w:eastAsia="Times New Roman" w:hAnsi="Calibri" w:cs="Times New Roman"/>
          <w:color w:val="000000"/>
          <w:szCs w:val="20"/>
          <w:lang w:eastAsia="en-GB"/>
        </w:rPr>
        <w:t>Access problems;</w:t>
      </w:r>
    </w:p>
    <w:p w:rsidR="002A03DC" w:rsidRDefault="002A03DC" w:rsidP="002A03DC">
      <w:pPr>
        <w:pStyle w:val="ListParagraph"/>
        <w:numPr>
          <w:ilvl w:val="1"/>
          <w:numId w:val="28"/>
        </w:numPr>
        <w:rPr>
          <w:rFonts w:ascii="Calibri" w:eastAsia="Times New Roman" w:hAnsi="Calibri" w:cs="Times New Roman"/>
          <w:color w:val="000000"/>
          <w:szCs w:val="20"/>
          <w:lang w:eastAsia="en-GB"/>
        </w:rPr>
      </w:pPr>
      <w:r>
        <w:rPr>
          <w:rFonts w:ascii="Calibri" w:eastAsia="Times New Roman" w:hAnsi="Calibri" w:cs="Times New Roman"/>
          <w:color w:val="000000"/>
          <w:szCs w:val="20"/>
          <w:lang w:eastAsia="en-GB"/>
        </w:rPr>
        <w:t>Survey coverage;</w:t>
      </w:r>
    </w:p>
    <w:p w:rsidR="002A03DC" w:rsidRDefault="002A03DC" w:rsidP="002A03DC">
      <w:pPr>
        <w:pStyle w:val="ListParagraph"/>
        <w:numPr>
          <w:ilvl w:val="1"/>
          <w:numId w:val="28"/>
        </w:numPr>
        <w:rPr>
          <w:rFonts w:ascii="Calibri" w:eastAsia="Times New Roman" w:hAnsi="Calibri" w:cs="Times New Roman"/>
          <w:color w:val="000000"/>
          <w:szCs w:val="20"/>
          <w:lang w:eastAsia="en-GB"/>
        </w:rPr>
      </w:pPr>
      <w:r>
        <w:rPr>
          <w:rFonts w:ascii="Calibri" w:eastAsia="Times New Roman" w:hAnsi="Calibri" w:cs="Times New Roman"/>
          <w:color w:val="000000"/>
          <w:szCs w:val="20"/>
          <w:lang w:eastAsia="en-GB"/>
        </w:rPr>
        <w:t>Accuracy of measurements;</w:t>
      </w:r>
    </w:p>
    <w:p w:rsidR="002A03DC" w:rsidRPr="00A7251F" w:rsidRDefault="002A03DC" w:rsidP="002A03DC">
      <w:pPr>
        <w:pStyle w:val="ListParagraph"/>
        <w:numPr>
          <w:ilvl w:val="0"/>
          <w:numId w:val="27"/>
        </w:numPr>
        <w:rPr>
          <w:rFonts w:ascii="Calibri" w:eastAsia="Times New Roman" w:hAnsi="Calibri" w:cs="Times New Roman"/>
          <w:color w:val="000000"/>
          <w:szCs w:val="20"/>
          <w:lang w:eastAsia="en-GB"/>
        </w:rPr>
      </w:pPr>
      <w:r w:rsidRPr="00A7251F">
        <w:rPr>
          <w:rFonts w:ascii="Calibri" w:eastAsia="Times New Roman" w:hAnsi="Calibri" w:cs="Times New Roman"/>
          <w:color w:val="000000"/>
          <w:szCs w:val="20"/>
          <w:lang w:eastAsia="en-GB"/>
        </w:rPr>
        <w:t>xyz files in csv format and pdf</w:t>
      </w:r>
      <w:r>
        <w:rPr>
          <w:rFonts w:ascii="Calibri" w:eastAsia="Times New Roman" w:hAnsi="Calibri" w:cs="Times New Roman"/>
          <w:color w:val="000000"/>
          <w:szCs w:val="20"/>
          <w:lang w:eastAsia="en-GB"/>
        </w:rPr>
        <w:t xml:space="preserve"> format;</w:t>
      </w:r>
    </w:p>
    <w:p w:rsidR="002A03DC" w:rsidRDefault="002A03DC" w:rsidP="002A03DC">
      <w:pPr>
        <w:pStyle w:val="ListParagraph"/>
        <w:numPr>
          <w:ilvl w:val="0"/>
          <w:numId w:val="27"/>
        </w:numPr>
      </w:pPr>
      <w:r>
        <w:t xml:space="preserve">Lateral locations should be provided using the </w:t>
      </w:r>
      <w:r w:rsidRPr="00A7251F">
        <w:t>Ordnance Survey National Grid reference system</w:t>
      </w:r>
      <w:r>
        <w:t>;</w:t>
      </w:r>
    </w:p>
    <w:p w:rsidR="002A03DC" w:rsidRDefault="002A03DC" w:rsidP="002A03DC">
      <w:pPr>
        <w:pStyle w:val="ListParagraph"/>
        <w:numPr>
          <w:ilvl w:val="0"/>
          <w:numId w:val="27"/>
        </w:numPr>
      </w:pPr>
      <w:r>
        <w:t>Vertical elevation should be provided in metres above Ordnance Datum (maOD);</w:t>
      </w:r>
    </w:p>
    <w:p w:rsidR="002A03DC" w:rsidRPr="00A7251F" w:rsidRDefault="002A03DC" w:rsidP="002A03DC">
      <w:pPr>
        <w:pStyle w:val="ListParagraph"/>
        <w:numPr>
          <w:ilvl w:val="0"/>
          <w:numId w:val="27"/>
        </w:numPr>
        <w:rPr>
          <w:rFonts w:ascii="Calibri" w:eastAsia="Times New Roman" w:hAnsi="Calibri" w:cs="Times New Roman"/>
          <w:color w:val="000000"/>
          <w:szCs w:val="20"/>
          <w:lang w:eastAsia="en-GB"/>
        </w:rPr>
      </w:pPr>
      <w:r>
        <w:rPr>
          <w:rFonts w:ascii="Calibri" w:eastAsia="Times New Roman" w:hAnsi="Calibri" w:cs="Times New Roman"/>
          <w:color w:val="000000"/>
          <w:szCs w:val="20"/>
          <w:lang w:eastAsia="en-GB"/>
        </w:rPr>
        <w:t xml:space="preserve">Map of survey points in </w:t>
      </w:r>
      <w:r w:rsidRPr="00A7251F">
        <w:rPr>
          <w:rFonts w:ascii="Calibri" w:eastAsia="Times New Roman" w:hAnsi="Calibri" w:cs="Times New Roman"/>
          <w:color w:val="000000"/>
          <w:szCs w:val="20"/>
          <w:lang w:eastAsia="en-GB"/>
        </w:rPr>
        <w:t>pdf and dwg</w:t>
      </w:r>
      <w:r>
        <w:rPr>
          <w:rFonts w:ascii="Calibri" w:eastAsia="Times New Roman" w:hAnsi="Calibri" w:cs="Times New Roman"/>
          <w:color w:val="000000"/>
          <w:szCs w:val="20"/>
          <w:lang w:eastAsia="en-GB"/>
        </w:rPr>
        <w:t xml:space="preserve"> format; and</w:t>
      </w:r>
    </w:p>
    <w:p w:rsidR="002A03DC" w:rsidRPr="004D6E23" w:rsidRDefault="002A03DC" w:rsidP="002A03DC">
      <w:pPr>
        <w:pStyle w:val="ListParagraph"/>
        <w:numPr>
          <w:ilvl w:val="0"/>
          <w:numId w:val="27"/>
        </w:numPr>
      </w:pPr>
      <w:r w:rsidRPr="00A7251F">
        <w:rPr>
          <w:rFonts w:ascii="Calibri" w:eastAsia="Times New Roman" w:hAnsi="Calibri" w:cs="Times New Roman"/>
          <w:color w:val="000000"/>
          <w:szCs w:val="20"/>
          <w:lang w:eastAsia="en-GB"/>
        </w:rPr>
        <w:t>Photos</w:t>
      </w:r>
      <w:r>
        <w:rPr>
          <w:rFonts w:ascii="Calibri" w:eastAsia="Times New Roman" w:hAnsi="Calibri" w:cs="Times New Roman"/>
          <w:color w:val="000000"/>
          <w:szCs w:val="20"/>
          <w:lang w:eastAsia="en-GB"/>
        </w:rPr>
        <w:t xml:space="preserve"> of all features surveyed</w:t>
      </w:r>
      <w:r w:rsidRPr="00A7251F">
        <w:rPr>
          <w:rFonts w:ascii="Calibri" w:eastAsia="Times New Roman" w:hAnsi="Calibri" w:cs="Times New Roman"/>
          <w:color w:val="000000"/>
          <w:szCs w:val="20"/>
          <w:lang w:eastAsia="en-GB"/>
        </w:rPr>
        <w:t>, indexed to features</w:t>
      </w:r>
      <w:r>
        <w:rPr>
          <w:rFonts w:ascii="Calibri" w:eastAsia="Times New Roman" w:hAnsi="Calibri" w:cs="Times New Roman"/>
          <w:color w:val="000000"/>
          <w:szCs w:val="20"/>
          <w:lang w:eastAsia="en-GB"/>
        </w:rPr>
        <w:t>.</w:t>
      </w:r>
    </w:p>
    <w:p w:rsidR="002A03DC" w:rsidRDefault="002A03DC" w:rsidP="002A03DC">
      <w:pPr>
        <w:pStyle w:val="Heading2"/>
      </w:pPr>
      <w:bookmarkStart w:id="20" w:name="_Toc454229853"/>
      <w:r>
        <w:t>Accuracy</w:t>
      </w:r>
      <w:bookmarkEnd w:id="20"/>
    </w:p>
    <w:p w:rsidR="00A7251F" w:rsidRDefault="00A7251F" w:rsidP="00A7251F">
      <w:pPr>
        <w:pStyle w:val="ListParagraph"/>
        <w:numPr>
          <w:ilvl w:val="0"/>
          <w:numId w:val="26"/>
        </w:numPr>
      </w:pPr>
      <w:r>
        <w:t>Lateral accuracy should be to within +/- 5 cm;</w:t>
      </w:r>
    </w:p>
    <w:p w:rsidR="00832312" w:rsidRDefault="00A7251F" w:rsidP="00A7251F">
      <w:pPr>
        <w:pStyle w:val="ListParagraph"/>
        <w:numPr>
          <w:ilvl w:val="0"/>
          <w:numId w:val="26"/>
        </w:numPr>
      </w:pPr>
      <w:r>
        <w:t>Vertical accuracy should be to within +/- 1 cm</w:t>
      </w:r>
    </w:p>
    <w:p w:rsidR="00A7251F" w:rsidRDefault="00832312" w:rsidP="00832312">
      <w:r>
        <w:t xml:space="preserve">It is appreciated that lateral accuracy is conventionally superior to vertical accuracy.  The above are minimum standards required.  </w:t>
      </w:r>
    </w:p>
    <w:p w:rsidR="002A03DC" w:rsidRDefault="002A03DC" w:rsidP="002A03DC"/>
    <w:p w:rsidR="002A03DC" w:rsidRDefault="002A03DC">
      <w:pPr>
        <w:sectPr w:rsidR="002A03DC" w:rsidSect="00EE54C4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1440" w:right="991" w:bottom="1134" w:left="1440" w:header="709" w:footer="335" w:gutter="0"/>
          <w:cols w:space="708"/>
          <w:titlePg/>
          <w:docGrid w:linePitch="360"/>
        </w:sectPr>
      </w:pPr>
    </w:p>
    <w:p w:rsidR="00A9516B" w:rsidRDefault="002A03DC" w:rsidP="002A03DC">
      <w:pPr>
        <w:pStyle w:val="Heading2"/>
      </w:pPr>
      <w:bookmarkStart w:id="22" w:name="_Toc454229854"/>
      <w:r>
        <w:lastRenderedPageBreak/>
        <w:t>Survey Points Required</w:t>
      </w:r>
      <w:bookmarkEnd w:id="22"/>
    </w:p>
    <w:tbl>
      <w:tblPr>
        <w:tblW w:w="19576" w:type="dxa"/>
        <w:tblInd w:w="94" w:type="dxa"/>
        <w:tblLook w:val="04A0" w:firstRow="1" w:lastRow="0" w:firstColumn="1" w:lastColumn="0" w:noHBand="0" w:noVBand="1"/>
      </w:tblPr>
      <w:tblGrid>
        <w:gridCol w:w="422"/>
        <w:gridCol w:w="2449"/>
        <w:gridCol w:w="1560"/>
        <w:gridCol w:w="3969"/>
        <w:gridCol w:w="2409"/>
        <w:gridCol w:w="3119"/>
        <w:gridCol w:w="2268"/>
        <w:gridCol w:w="3380"/>
      </w:tblGrid>
      <w:tr w:rsidR="002A03DC" w:rsidRPr="002A03DC" w:rsidTr="00596398">
        <w:trPr>
          <w:trHeight w:val="458"/>
        </w:trPr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BE5F1" w:themeFill="accent1" w:themeFillTint="33"/>
            <w:noWrap/>
            <w:hideMark/>
          </w:tcPr>
          <w:p w:rsidR="002A03DC" w:rsidRPr="00596398" w:rsidRDefault="002A03DC" w:rsidP="00B04A16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iCs/>
                <w:color w:val="000000"/>
                <w:szCs w:val="20"/>
                <w:lang w:eastAsia="en-GB"/>
              </w:rPr>
            </w:pPr>
            <w:r w:rsidRPr="00596398">
              <w:rPr>
                <w:rFonts w:ascii="Calibri" w:eastAsia="Times New Roman" w:hAnsi="Calibri" w:cs="Times New Roman"/>
                <w:b/>
                <w:bCs/>
                <w:iCs/>
                <w:color w:val="000000"/>
                <w:szCs w:val="20"/>
                <w:lang w:eastAsia="en-GB"/>
              </w:rPr>
              <w:t>ID</w:t>
            </w:r>
          </w:p>
        </w:tc>
        <w:tc>
          <w:tcPr>
            <w:tcW w:w="244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BE5F1" w:themeFill="accent1" w:themeFillTint="33"/>
            <w:noWrap/>
            <w:hideMark/>
          </w:tcPr>
          <w:p w:rsidR="002A03DC" w:rsidRPr="00596398" w:rsidRDefault="002A03DC" w:rsidP="00B04A16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Cs w:val="20"/>
                <w:lang w:eastAsia="en-GB"/>
              </w:rPr>
            </w:pPr>
            <w:r w:rsidRPr="00596398">
              <w:rPr>
                <w:rFonts w:ascii="Calibri" w:eastAsia="Times New Roman" w:hAnsi="Calibri" w:cs="Times New Roman"/>
                <w:b/>
                <w:bCs/>
                <w:color w:val="000000"/>
                <w:szCs w:val="20"/>
                <w:lang w:eastAsia="en-GB"/>
              </w:rPr>
              <w:t>Feature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BE5F1" w:themeFill="accent1" w:themeFillTint="33"/>
            <w:noWrap/>
            <w:hideMark/>
          </w:tcPr>
          <w:p w:rsidR="002A03DC" w:rsidRPr="00596398" w:rsidRDefault="002A03DC" w:rsidP="00B04A16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Cs w:val="20"/>
                <w:lang w:eastAsia="en-GB"/>
              </w:rPr>
            </w:pPr>
            <w:r w:rsidRPr="00596398">
              <w:rPr>
                <w:rFonts w:ascii="Calibri" w:eastAsia="Times New Roman" w:hAnsi="Calibri" w:cs="Times New Roman"/>
                <w:b/>
                <w:bCs/>
                <w:color w:val="000000"/>
                <w:szCs w:val="20"/>
                <w:lang w:eastAsia="en-GB"/>
              </w:rPr>
              <w:t>Survey Item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BE5F1" w:themeFill="accent1" w:themeFillTint="33"/>
            <w:noWrap/>
            <w:hideMark/>
          </w:tcPr>
          <w:p w:rsidR="002A03DC" w:rsidRPr="00596398" w:rsidRDefault="002A03DC" w:rsidP="00B04A16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Cs w:val="20"/>
                <w:lang w:eastAsia="en-GB"/>
              </w:rPr>
            </w:pPr>
            <w:r w:rsidRPr="00596398">
              <w:rPr>
                <w:rFonts w:ascii="Calibri" w:eastAsia="Times New Roman" w:hAnsi="Calibri" w:cs="Times New Roman"/>
                <w:b/>
                <w:bCs/>
                <w:color w:val="000000"/>
                <w:szCs w:val="20"/>
                <w:lang w:eastAsia="en-GB"/>
              </w:rPr>
              <w:t>Upstream-Downstream Extent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BE5F1" w:themeFill="accent1" w:themeFillTint="33"/>
            <w:noWrap/>
            <w:hideMark/>
          </w:tcPr>
          <w:p w:rsidR="002A03DC" w:rsidRPr="00596398" w:rsidRDefault="002A03DC" w:rsidP="00B04A16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Cs w:val="20"/>
                <w:lang w:eastAsia="en-GB"/>
              </w:rPr>
            </w:pPr>
            <w:r w:rsidRPr="00596398">
              <w:rPr>
                <w:rFonts w:ascii="Calibri" w:eastAsia="Times New Roman" w:hAnsi="Calibri" w:cs="Times New Roman"/>
                <w:b/>
                <w:bCs/>
                <w:color w:val="000000"/>
                <w:szCs w:val="20"/>
                <w:lang w:eastAsia="en-GB"/>
              </w:rPr>
              <w:t>Lateral Extent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BE5F1" w:themeFill="accent1" w:themeFillTint="33"/>
            <w:noWrap/>
            <w:hideMark/>
          </w:tcPr>
          <w:p w:rsidR="002A03DC" w:rsidRPr="00596398" w:rsidRDefault="002A03DC" w:rsidP="00B04A16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Cs w:val="20"/>
                <w:lang w:eastAsia="en-GB"/>
              </w:rPr>
            </w:pPr>
            <w:r w:rsidRPr="00596398">
              <w:rPr>
                <w:rFonts w:ascii="Calibri" w:eastAsia="Times New Roman" w:hAnsi="Calibri" w:cs="Times New Roman"/>
                <w:b/>
                <w:bCs/>
                <w:color w:val="000000"/>
                <w:szCs w:val="20"/>
                <w:lang w:eastAsia="en-GB"/>
              </w:rPr>
              <w:t>Downstream Points Density/Items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BE5F1" w:themeFill="accent1" w:themeFillTint="33"/>
            <w:noWrap/>
            <w:hideMark/>
          </w:tcPr>
          <w:p w:rsidR="002A03DC" w:rsidRPr="00596398" w:rsidRDefault="002A03DC" w:rsidP="00B04A16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Cs w:val="20"/>
                <w:lang w:eastAsia="en-GB"/>
              </w:rPr>
            </w:pPr>
            <w:r w:rsidRPr="00596398">
              <w:rPr>
                <w:rFonts w:ascii="Calibri" w:eastAsia="Times New Roman" w:hAnsi="Calibri" w:cs="Times New Roman"/>
                <w:b/>
                <w:bCs/>
                <w:color w:val="000000"/>
                <w:szCs w:val="20"/>
                <w:lang w:eastAsia="en-GB"/>
              </w:rPr>
              <w:t>Lateral Points Density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BE5F1" w:themeFill="accent1" w:themeFillTint="33"/>
            <w:noWrap/>
            <w:hideMark/>
          </w:tcPr>
          <w:p w:rsidR="002A03DC" w:rsidRPr="00596398" w:rsidRDefault="002A03DC" w:rsidP="00B04A16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Cs w:val="20"/>
                <w:lang w:eastAsia="en-GB"/>
              </w:rPr>
            </w:pPr>
            <w:r w:rsidRPr="00596398">
              <w:rPr>
                <w:rFonts w:ascii="Calibri" w:eastAsia="Times New Roman" w:hAnsi="Calibri" w:cs="Times New Roman"/>
                <w:b/>
                <w:bCs/>
                <w:color w:val="000000"/>
                <w:szCs w:val="20"/>
                <w:lang w:eastAsia="en-GB"/>
              </w:rPr>
              <w:t>Notes</w:t>
            </w:r>
          </w:p>
        </w:tc>
      </w:tr>
      <w:tr w:rsidR="002A03DC" w:rsidRPr="002A03DC" w:rsidTr="00596398">
        <w:trPr>
          <w:trHeight w:val="255"/>
        </w:trPr>
        <w:tc>
          <w:tcPr>
            <w:tcW w:w="42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</w:pPr>
          </w:p>
        </w:tc>
        <w:tc>
          <w:tcPr>
            <w:tcW w:w="244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  <w:tc>
          <w:tcPr>
            <w:tcW w:w="338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</w:tr>
      <w:tr w:rsidR="002A03DC" w:rsidRPr="002A03DC" w:rsidTr="00B04A16">
        <w:trPr>
          <w:trHeight w:val="255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  <w:t>a</w:t>
            </w: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Central Ditch (north-south)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Cross sections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From inlet culvert (Telegraph Rd.) to outlet culvert (to Old Town beach)</w:t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5 m beyond ditch extent</w:t>
            </w: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Every 10 m upstream-downstream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30 cm minimum; at least 15 points</w:t>
            </w:r>
          </w:p>
        </w:tc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</w:tr>
      <w:tr w:rsidR="002A03DC" w:rsidRPr="002A03DC" w:rsidTr="00B04A16">
        <w:trPr>
          <w:trHeight w:val="255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  <w:t>b</w:t>
            </w: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Long section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"</w:t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Single points</w:t>
            </w: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Every 10 m upstream-downstream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-</w:t>
            </w:r>
          </w:p>
        </w:tc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Deepest part of channel</w:t>
            </w:r>
          </w:p>
        </w:tc>
      </w:tr>
      <w:tr w:rsidR="002A03DC" w:rsidRPr="002A03DC" w:rsidTr="00B04A16">
        <w:trPr>
          <w:trHeight w:val="255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  <w:t>c</w:t>
            </w: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Ring Ditches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Cross sections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Full extent, eastern and western ditches</w:t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2 m beyond ditch extent</w:t>
            </w: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Every 10 m upstream-downstream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30 cm minimum; at least 15 points</w:t>
            </w:r>
          </w:p>
        </w:tc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</w:tr>
      <w:tr w:rsidR="002A03DC" w:rsidRPr="002A03DC" w:rsidTr="00B04A16">
        <w:trPr>
          <w:trHeight w:val="255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  <w:t>d</w:t>
            </w: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Long section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"</w:t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Single points</w:t>
            </w: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Every 10 m upstream-downstream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-</w:t>
            </w:r>
          </w:p>
        </w:tc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Deepest part of channel</w:t>
            </w:r>
          </w:p>
        </w:tc>
      </w:tr>
      <w:tr w:rsidR="002A03DC" w:rsidRPr="002A03DC" w:rsidTr="00B04A16">
        <w:trPr>
          <w:trHeight w:val="255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  <w:t>e</w:t>
            </w: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Industrial area drainage ditch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Cross sections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Head of ditch (eastern end of Ind. site) to merge into  minor ditch network</w:t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2 m beyond ditch extent</w:t>
            </w: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Every 10 m upstream-downstream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30 cm minimum; at least 15 points</w:t>
            </w:r>
          </w:p>
        </w:tc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</w:tr>
      <w:tr w:rsidR="002A03DC" w:rsidRPr="002A03DC" w:rsidTr="00B04A16">
        <w:trPr>
          <w:trHeight w:val="255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  <w:t>f</w:t>
            </w: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Long section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"</w:t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Single points</w:t>
            </w: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Every 10 m upstream-downstream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-</w:t>
            </w:r>
          </w:p>
        </w:tc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Deepest part of channel</w:t>
            </w:r>
          </w:p>
        </w:tc>
      </w:tr>
      <w:tr w:rsidR="002A03DC" w:rsidRPr="002A03DC" w:rsidTr="00B04A16">
        <w:trPr>
          <w:trHeight w:val="255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  <w:t>g</w:t>
            </w: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Waste site drainage ditch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Cross sections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Head of ditch (by Ind</w:t>
            </w:r>
            <w:r w:rsidR="00596398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.</w:t>
            </w: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/Waste sites) to merge into  minor ditch network</w:t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2 m beyond ditch extent</w:t>
            </w: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Every 10 m upstream-downstream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30 cm minimum; at least 15 points</w:t>
            </w:r>
          </w:p>
        </w:tc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</w:tr>
      <w:tr w:rsidR="002A03DC" w:rsidRPr="002A03DC" w:rsidTr="00B04A16">
        <w:trPr>
          <w:trHeight w:val="255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  <w:t>h</w:t>
            </w: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Long section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"</w:t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Single points</w:t>
            </w: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Every 10 m upstream-downstream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-</w:t>
            </w:r>
          </w:p>
        </w:tc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Deepest part of channel</w:t>
            </w:r>
          </w:p>
        </w:tc>
      </w:tr>
      <w:tr w:rsidR="002A03DC" w:rsidRPr="002A03DC" w:rsidTr="00B04A16">
        <w:trPr>
          <w:trHeight w:val="255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  <w:t>i</w:t>
            </w: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Minor Ditches (all other channels)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Cross sections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Full extents across site</w:t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2 m beyond ditch extent</w:t>
            </w: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Every 10 m upstream-downstream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30 cm minimum; at least 15 points</w:t>
            </w:r>
          </w:p>
        </w:tc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</w:tr>
      <w:tr w:rsidR="002A03DC" w:rsidRPr="002A03DC" w:rsidTr="00B04A16">
        <w:trPr>
          <w:trHeight w:val="255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  <w:t>j</w:t>
            </w: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Long sections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Full extents across site</w:t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Single points</w:t>
            </w: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Every 10 m upstream-downstream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-</w:t>
            </w:r>
          </w:p>
        </w:tc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Deepest part of channel</w:t>
            </w:r>
          </w:p>
        </w:tc>
      </w:tr>
      <w:tr w:rsidR="002A03DC" w:rsidRPr="002A03DC" w:rsidTr="00B04A16">
        <w:trPr>
          <w:trHeight w:val="255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  <w:t>k</w:t>
            </w: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Open Water Scrapes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Boundary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Extent of feature</w:t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Extent of feature</w:t>
            </w: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2 m spacing around perimeter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-</w:t>
            </w:r>
          </w:p>
        </w:tc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</w:tr>
      <w:tr w:rsidR="002A03DC" w:rsidRPr="002A03DC" w:rsidTr="00B04A16">
        <w:trPr>
          <w:trHeight w:val="255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  <w:t>l</w:t>
            </w: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Bed profile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Extent of feature</w:t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Extent of feature</w:t>
            </w: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5 m grid where possible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-</w:t>
            </w:r>
          </w:p>
        </w:tc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</w:tr>
      <w:tr w:rsidR="002A03DC" w:rsidRPr="002A03DC" w:rsidTr="00B04A16">
        <w:trPr>
          <w:trHeight w:val="255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  <w:t>m</w:t>
            </w: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Stageboards (if present)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Single point</w:t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Single point</w:t>
            </w: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At zero stage or recorded datum, and current water level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-</w:t>
            </w:r>
          </w:p>
        </w:tc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</w:tr>
      <w:tr w:rsidR="002A03DC" w:rsidRPr="002A03DC" w:rsidTr="00B04A16">
        <w:trPr>
          <w:trHeight w:val="255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  <w:t>n</w:t>
            </w: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Inflow channel (Telegraph Rd)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Cross sections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3 no. cross sections upstream of Telegraph Rd. culvert</w:t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5 m beyond ditch extent</w:t>
            </w: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Every 10 m upstream-downstream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20 cm minimum; at least 15 points</w:t>
            </w:r>
          </w:p>
        </w:tc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</w:tr>
      <w:tr w:rsidR="002A03DC" w:rsidRPr="002A03DC" w:rsidTr="00B04A16">
        <w:trPr>
          <w:trHeight w:val="255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  <w:t>o</w:t>
            </w: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Culvert inlet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Single point</w:t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Extent of feature</w:t>
            </w: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Soffit, invert, channel bed, headwall top &amp; lateral extents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-</w:t>
            </w:r>
          </w:p>
        </w:tc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</w:tr>
      <w:tr w:rsidR="002A03DC" w:rsidRPr="002A03DC" w:rsidTr="00B04A16">
        <w:trPr>
          <w:trHeight w:val="255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  <w:t>p</w:t>
            </w: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Culvert outlet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Single point</w:t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Extent of feature</w:t>
            </w: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Soffit, invert, channel bed, headwall top &amp; lateral extents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-</w:t>
            </w:r>
          </w:p>
        </w:tc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</w:tr>
      <w:tr w:rsidR="002A03DC" w:rsidRPr="002A03DC" w:rsidTr="00B04A16">
        <w:trPr>
          <w:trHeight w:val="255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  <w:t>q</w:t>
            </w: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Outlet Culvert (to Old Town beach)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Culvert inlet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Single point</w:t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Extent of feature</w:t>
            </w: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Soffit, invert, channel bed, headwall top &amp; lateral extents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-</w:t>
            </w:r>
          </w:p>
        </w:tc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</w:tr>
      <w:tr w:rsidR="002A03DC" w:rsidRPr="002A03DC" w:rsidTr="00B04A16">
        <w:trPr>
          <w:trHeight w:val="255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  <w:t>r</w:t>
            </w: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Stop plank structure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Cross section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Single point</w:t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Extent of feature</w:t>
            </w: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Lateral and vertical extents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20 cm minimum; at least 15 points</w:t>
            </w:r>
          </w:p>
        </w:tc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</w:tr>
      <w:tr w:rsidR="002A03DC" w:rsidRPr="002A03DC" w:rsidTr="00B04A16">
        <w:trPr>
          <w:trHeight w:val="255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  <w:t>s</w:t>
            </w: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Wider site surface topography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-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Site boundary</w:t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Central ditch width</w:t>
            </w: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25 m resolution where possible, any sig. points of inflection/change</w:t>
            </w:r>
          </w:p>
        </w:tc>
        <w:tc>
          <w:tcPr>
            <w:tcW w:w="56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25 m resolution where possible, any sig. points of inflection/change</w:t>
            </w:r>
          </w:p>
        </w:tc>
      </w:tr>
      <w:tr w:rsidR="002A03DC" w:rsidRPr="002A03DC" w:rsidTr="00B04A16">
        <w:trPr>
          <w:trHeight w:val="255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  <w:t>t</w:t>
            </w: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Industrial site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Topography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Extent of Industrial site</w:t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Extent of Industrial site</w:t>
            </w: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5 m grid; any sig. points of inflection/change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5 m grid</w:t>
            </w:r>
          </w:p>
        </w:tc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</w:tr>
      <w:tr w:rsidR="002A03DC" w:rsidRPr="002A03DC" w:rsidTr="00B04A16">
        <w:trPr>
          <w:trHeight w:val="255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  <w:t>u</w:t>
            </w: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Outlet(s) to ditch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Single point(s); locations unknown</w:t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Extent of feature(s)</w:t>
            </w: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Soffit, invert, channel bed, headwall top &amp; lateral extents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-</w:t>
            </w:r>
          </w:p>
        </w:tc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</w:tr>
      <w:tr w:rsidR="002A03DC" w:rsidRPr="002A03DC" w:rsidTr="00B04A16">
        <w:trPr>
          <w:trHeight w:val="255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  <w:t>v</w:t>
            </w: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Waste site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Topography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Extent of Waste site</w:t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Extent of Waste site</w:t>
            </w: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5 m grid; any sig. points of inflection/change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5 m grid</w:t>
            </w:r>
          </w:p>
        </w:tc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</w:tr>
      <w:tr w:rsidR="002A03DC" w:rsidRPr="002A03DC" w:rsidTr="00B04A16">
        <w:trPr>
          <w:trHeight w:val="255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  <w:t>w</w:t>
            </w: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Outlet(s) to ditch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Single point; southeast of site; plus drain covers</w:t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Extent of feature(s)</w:t>
            </w: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Soffit, invert, channel bed, headwall top &amp; lateral extents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-</w:t>
            </w:r>
          </w:p>
        </w:tc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</w:tr>
      <w:tr w:rsidR="002A03DC" w:rsidRPr="002A03DC" w:rsidTr="00B04A16">
        <w:trPr>
          <w:trHeight w:val="255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  <w:t>x</w:t>
            </w: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Path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Long section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Inlet culvert (Telegraph Rd.) to outlet culvert (to Old Town beach)</w:t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Single point</w:t>
            </w: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Every 10 m upstream-downstream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Single point</w:t>
            </w:r>
          </w:p>
        </w:tc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</w:tr>
      <w:tr w:rsidR="002A03DC" w:rsidRPr="002A03DC" w:rsidTr="00B04A16">
        <w:trPr>
          <w:trHeight w:val="255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  <w:t>y</w:t>
            </w:r>
          </w:p>
        </w:tc>
        <w:tc>
          <w:tcPr>
            <w:tcW w:w="2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Existing well heads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As found</w:t>
            </w: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Single points; some locations known</w:t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-</w:t>
            </w: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Remove caps if possible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-</w:t>
            </w:r>
          </w:p>
        </w:tc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</w:p>
        </w:tc>
      </w:tr>
      <w:tr w:rsidR="002A03DC" w:rsidRPr="002A03DC" w:rsidTr="005B6081">
        <w:trPr>
          <w:trHeight w:val="255"/>
        </w:trPr>
        <w:tc>
          <w:tcPr>
            <w:tcW w:w="422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  <w:t>z</w:t>
            </w:r>
          </w:p>
        </w:tc>
        <w:tc>
          <w:tcPr>
            <w:tcW w:w="2449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New well heads</w:t>
            </w:r>
          </w:p>
        </w:tc>
        <w:tc>
          <w:tcPr>
            <w:tcW w:w="156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Dialogue with installer</w:t>
            </w:r>
          </w:p>
        </w:tc>
        <w:tc>
          <w:tcPr>
            <w:tcW w:w="3969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Single points</w:t>
            </w:r>
          </w:p>
        </w:tc>
        <w:tc>
          <w:tcPr>
            <w:tcW w:w="2409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-</w:t>
            </w:r>
          </w:p>
        </w:tc>
        <w:tc>
          <w:tcPr>
            <w:tcW w:w="3119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-</w:t>
            </w:r>
          </w:p>
        </w:tc>
        <w:tc>
          <w:tcPr>
            <w:tcW w:w="2268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 w:rsidRPr="002A03DC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-</w:t>
            </w:r>
          </w:p>
        </w:tc>
        <w:tc>
          <w:tcPr>
            <w:tcW w:w="338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hideMark/>
          </w:tcPr>
          <w:p w:rsidR="002A03DC" w:rsidRPr="002A03DC" w:rsidRDefault="00596398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Timed after installation of wells</w:t>
            </w:r>
          </w:p>
        </w:tc>
      </w:tr>
      <w:tr w:rsidR="002A03DC" w:rsidRPr="002A03DC" w:rsidTr="005B6081">
        <w:trPr>
          <w:trHeight w:val="255"/>
        </w:trPr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</w:pPr>
            <w:r>
              <w:rPr>
                <w:rFonts w:ascii="Calibri" w:eastAsia="Times New Roman" w:hAnsi="Calibri" w:cs="Times New Roman"/>
                <w:i/>
                <w:iCs/>
                <w:color w:val="000000"/>
                <w:szCs w:val="20"/>
                <w:lang w:eastAsia="en-GB"/>
              </w:rPr>
              <w:t>aa</w:t>
            </w:r>
          </w:p>
        </w:tc>
        <w:tc>
          <w:tcPr>
            <w:tcW w:w="244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03DC" w:rsidRPr="002A03DC" w:rsidRDefault="002A03DC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 xml:space="preserve">Local </w:t>
            </w:r>
            <w:r w:rsidR="00B04A16"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 xml:space="preserve">OS </w:t>
            </w:r>
            <w:r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benchmark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03DC" w:rsidRPr="002A03DC" w:rsidRDefault="00D3719F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-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03DC" w:rsidRPr="002A03DC" w:rsidRDefault="00B04A16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-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03DC" w:rsidRPr="002A03DC" w:rsidRDefault="00D3719F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-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03DC" w:rsidRPr="002A03DC" w:rsidRDefault="00D3719F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-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03DC" w:rsidRPr="002A03DC" w:rsidRDefault="00D3719F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-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03DC" w:rsidRPr="002A03DC" w:rsidRDefault="00B04A16" w:rsidP="002A03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Cs w:val="20"/>
                <w:lang w:eastAsia="en-GB"/>
              </w:rPr>
              <w:t>For cross referencing OS datum</w:t>
            </w:r>
          </w:p>
        </w:tc>
      </w:tr>
    </w:tbl>
    <w:p w:rsidR="004D6E23" w:rsidRPr="00A7251F" w:rsidRDefault="004D6E23" w:rsidP="004D6E23"/>
    <w:sectPr w:rsidR="004D6E23" w:rsidRPr="00A7251F" w:rsidSect="002A03DC">
      <w:headerReference w:type="first" r:id="rId16"/>
      <w:pgSz w:w="23814" w:h="16840" w:orient="landscape" w:code="9"/>
      <w:pgMar w:top="1276" w:right="8159" w:bottom="1701" w:left="1134" w:header="709" w:footer="335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F4338" w:rsidRDefault="00EF4338" w:rsidP="00925068">
      <w:r>
        <w:separator/>
      </w:r>
    </w:p>
  </w:endnote>
  <w:endnote w:type="continuationSeparator" w:id="0">
    <w:p w:rsidR="00EF4338" w:rsidRDefault="00EF4338" w:rsidP="009250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evenim MT">
    <w:panose1 w:val="02010502060101010101"/>
    <w:charset w:val="B1"/>
    <w:family w:val="auto"/>
    <w:pitch w:val="variable"/>
    <w:sig w:usb0="00000801" w:usb1="00000000" w:usb2="00000000" w:usb3="00000000" w:csb0="0000002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11ED" w:rsidRDefault="00A411ED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2169969"/>
      <w:docPartObj>
        <w:docPartGallery w:val="Page Numbers (Bottom of Page)"/>
        <w:docPartUnique/>
      </w:docPartObj>
    </w:sdtPr>
    <w:sdtEndPr/>
    <w:sdtContent>
      <w:p w:rsidR="00A7251F" w:rsidRDefault="00A7251F">
        <w:pPr>
          <w:pStyle w:val="Footer"/>
          <w:jc w:val="center"/>
        </w:pPr>
        <w:r>
          <w:rPr>
            <w:noProof/>
            <w:lang w:eastAsia="en-GB"/>
          </w:rPr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column">
                <wp:posOffset>5835341</wp:posOffset>
              </wp:positionH>
              <wp:positionV relativeFrom="paragraph">
                <wp:posOffset>-291879</wp:posOffset>
              </wp:positionV>
              <wp:extent cx="289294" cy="489098"/>
              <wp:effectExtent l="19050" t="0" r="0" b="0"/>
              <wp:wrapNone/>
              <wp:docPr id="22" name="Picture 21" descr="MilestoneMarkerRGB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MilestoneMarkerRGB.jpg"/>
                      <pic:cNvPicPr/>
                    </pic:nvPicPr>
                    <pic:blipFill>
                      <a:blip r:embed="rId1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89294" cy="489098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</w:p>
    </w:sdtContent>
  </w:sdt>
  <w:p w:rsidR="00A7251F" w:rsidRDefault="00D559CE" w:rsidP="00973198">
    <w:pPr>
      <w:pStyle w:val="Footer"/>
      <w:tabs>
        <w:tab w:val="left" w:pos="4255"/>
      </w:tabs>
      <w:jc w:val="center"/>
    </w:pPr>
    <w:r w:rsidRPr="00D559CE">
      <w:rPr>
        <w:sz w:val="36"/>
      </w:rPr>
      <w:t xml:space="preserve">APPENDIX </w:t>
    </w:r>
    <w:r w:rsidR="00A411ED">
      <w:rPr>
        <w:sz w:val="36"/>
      </w:rPr>
      <w:t>1</w:t>
    </w:r>
    <w:bookmarkStart w:id="21" w:name="_GoBack"/>
    <w:bookmarkEnd w:id="21"/>
    <w:r w:rsidR="00973198">
      <w:rPr>
        <w:sz w:val="36"/>
      </w:rPr>
      <w:t xml:space="preserve"> – Lower Moors SSSI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A03DC" w:rsidRPr="00D559CE" w:rsidRDefault="002A03DC" w:rsidP="00D559CE">
    <w:pPr>
      <w:pStyle w:val="Footer"/>
      <w:jc w:val="center"/>
      <w:rPr>
        <w:sz w:val="32"/>
      </w:rPr>
    </w:pPr>
    <w:r w:rsidRPr="00D559CE">
      <w:rPr>
        <w:noProof/>
        <w:sz w:val="32"/>
        <w:lang w:eastAsia="en-GB"/>
      </w:rPr>
      <w:drawing>
        <wp:anchor distT="0" distB="0" distL="114300" distR="114300" simplePos="0" relativeHeight="251659776" behindDoc="0" locked="0" layoutInCell="1" allowOverlap="1" wp14:anchorId="50D19DC9" wp14:editId="149F07DB">
          <wp:simplePos x="0" y="0"/>
          <wp:positionH relativeFrom="column">
            <wp:posOffset>13482802</wp:posOffset>
          </wp:positionH>
          <wp:positionV relativeFrom="paragraph">
            <wp:posOffset>-455252</wp:posOffset>
          </wp:positionV>
          <wp:extent cx="296261" cy="488732"/>
          <wp:effectExtent l="19050" t="0" r="8539" b="0"/>
          <wp:wrapNone/>
          <wp:docPr id="2" name="Picture 21" descr="MilestoneMarker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ilestoneMarkerRGB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96261" cy="48873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D559CE" w:rsidRPr="00D559CE">
      <w:rPr>
        <w:sz w:val="32"/>
      </w:rPr>
      <w:t xml:space="preserve">APPENDIX </w:t>
    </w:r>
    <w:r w:rsidR="00A411ED">
      <w:rPr>
        <w:sz w:val="32"/>
      </w:rPr>
      <w:t>1</w:t>
    </w:r>
    <w:r w:rsidR="00973198">
      <w:rPr>
        <w:sz w:val="32"/>
      </w:rPr>
      <w:t xml:space="preserve"> – Lower Moors SSSI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F4338" w:rsidRDefault="00EF4338" w:rsidP="00925068">
      <w:r>
        <w:separator/>
      </w:r>
    </w:p>
  </w:footnote>
  <w:footnote w:type="continuationSeparator" w:id="0">
    <w:p w:rsidR="00EF4338" w:rsidRDefault="00EF4338" w:rsidP="0092506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11ED" w:rsidRDefault="00A411ED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411ED" w:rsidRDefault="00A411ED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7251F" w:rsidRPr="00D559CE" w:rsidRDefault="007B7A22" w:rsidP="00D559CE">
    <w:pPr>
      <w:pStyle w:val="Header"/>
      <w:ind w:left="-284"/>
      <w:jc w:val="center"/>
      <w:rPr>
        <w:sz w:val="32"/>
      </w:rPr>
    </w:pPr>
    <w:r w:rsidRPr="00D559CE">
      <w:rPr>
        <w:noProof/>
        <w:sz w:val="32"/>
        <w:lang w:eastAsia="en-GB"/>
      </w:rPr>
      <w:drawing>
        <wp:inline distT="0" distB="0" distL="0" distR="0" wp14:anchorId="0C7ED585" wp14:editId="78D210A7">
          <wp:extent cx="5876978" cy="1807535"/>
          <wp:effectExtent l="19050" t="0" r="9472" b="0"/>
          <wp:docPr id="3" name="Picture 3" descr="C:\DJM\Milestone\Logo\MilestoneDesign_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DJM\Milestone\Logo\MilestoneDesign_A.jp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882432" cy="1809212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7A22" w:rsidRDefault="007B7A22" w:rsidP="00F906A1">
    <w:pPr>
      <w:pStyle w:val="Header"/>
      <w:ind w:left="-284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1549E3"/>
    <w:multiLevelType w:val="hybridMultilevel"/>
    <w:tmpl w:val="2C9A7280"/>
    <w:lvl w:ilvl="0" w:tplc="08090001">
      <w:start w:val="1"/>
      <w:numFmt w:val="bullet"/>
      <w:lvlText w:val=""/>
      <w:lvlJc w:val="left"/>
      <w:pPr>
        <w:ind w:left="435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15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7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9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1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3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5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7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95" w:hanging="360"/>
      </w:pPr>
      <w:rPr>
        <w:rFonts w:ascii="Wingdings" w:hAnsi="Wingdings" w:hint="default"/>
      </w:rPr>
    </w:lvl>
  </w:abstractNum>
  <w:abstractNum w:abstractNumId="1">
    <w:nsid w:val="0CE02834"/>
    <w:multiLevelType w:val="hybridMultilevel"/>
    <w:tmpl w:val="25383AB8"/>
    <w:lvl w:ilvl="0" w:tplc="08090001">
      <w:start w:val="1"/>
      <w:numFmt w:val="bullet"/>
      <w:lvlText w:val=""/>
      <w:lvlJc w:val="left"/>
      <w:pPr>
        <w:ind w:left="751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7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9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1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3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5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7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9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11" w:hanging="360"/>
      </w:pPr>
      <w:rPr>
        <w:rFonts w:ascii="Wingdings" w:hAnsi="Wingdings" w:hint="default"/>
      </w:rPr>
    </w:lvl>
  </w:abstractNum>
  <w:abstractNum w:abstractNumId="2">
    <w:nsid w:val="0D00799B"/>
    <w:multiLevelType w:val="hybridMultilevel"/>
    <w:tmpl w:val="1BA860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34F01B0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>
    <w:nsid w:val="159412F1"/>
    <w:multiLevelType w:val="hybridMultilevel"/>
    <w:tmpl w:val="B986D88C"/>
    <w:lvl w:ilvl="0" w:tplc="0809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abstractNum w:abstractNumId="5">
    <w:nsid w:val="186F093F"/>
    <w:multiLevelType w:val="hybridMultilevel"/>
    <w:tmpl w:val="CF50B8D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B0658F3"/>
    <w:multiLevelType w:val="hybridMultilevel"/>
    <w:tmpl w:val="58A6444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03D0153"/>
    <w:multiLevelType w:val="hybridMultilevel"/>
    <w:tmpl w:val="0B785944"/>
    <w:lvl w:ilvl="0" w:tplc="08090015">
      <w:start w:val="1"/>
      <w:numFmt w:val="upperLetter"/>
      <w:lvlText w:val="%1."/>
      <w:lvlJc w:val="left"/>
      <w:pPr>
        <w:ind w:left="720" w:hanging="360"/>
      </w:p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C451E3B"/>
    <w:multiLevelType w:val="multilevel"/>
    <w:tmpl w:val="D05609CC"/>
    <w:lvl w:ilvl="0">
      <w:start w:val="1"/>
      <w:numFmt w:val="decimal"/>
      <w:pStyle w:val="Heading1"/>
      <w:lvlText w:val="%1"/>
      <w:lvlJc w:val="left"/>
      <w:pPr>
        <w:ind w:left="360" w:hanging="360"/>
      </w:pPr>
      <w:rPr>
        <w:rFonts w:ascii="Calibri" w:hAnsi="Calibri" w:hint="default"/>
        <w:b/>
        <w:i w:val="0"/>
        <w:color w:val="1F497D" w:themeColor="text2"/>
        <w:sz w:val="24"/>
      </w:rPr>
    </w:lvl>
    <w:lvl w:ilvl="1">
      <w:start w:val="1"/>
      <w:numFmt w:val="decimal"/>
      <w:pStyle w:val="Heading2"/>
      <w:suff w:val="space"/>
      <w:lvlText w:val="%1.%2"/>
      <w:lvlJc w:val="left"/>
      <w:pPr>
        <w:ind w:left="360" w:hanging="360"/>
      </w:pPr>
      <w:rPr>
        <w:rFonts w:ascii="Calibri" w:hAnsi="Calibri" w:hint="default"/>
        <w:b/>
        <w:i w:val="0"/>
        <w:color w:val="1F497D" w:themeColor="text2"/>
        <w:sz w:val="24"/>
      </w:rPr>
    </w:lvl>
    <w:lvl w:ilvl="2">
      <w:start w:val="1"/>
      <w:numFmt w:val="decimal"/>
      <w:pStyle w:val="Heading3"/>
      <w:lvlText w:val="%1.%2.%3"/>
      <w:lvlJc w:val="left"/>
      <w:pPr>
        <w:ind w:left="1080" w:hanging="360"/>
      </w:pPr>
      <w:rPr>
        <w:rFonts w:ascii="Calibri" w:hAnsi="Calibri" w:hint="default"/>
        <w:b/>
        <w:i w:val="0"/>
        <w:color w:val="1F497D" w:themeColor="text2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9">
    <w:nsid w:val="369D70DF"/>
    <w:multiLevelType w:val="hybridMultilevel"/>
    <w:tmpl w:val="F4C48C6C"/>
    <w:lvl w:ilvl="0" w:tplc="08090015">
      <w:start w:val="1"/>
      <w:numFmt w:val="upp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7A56B2F"/>
    <w:multiLevelType w:val="hybridMultilevel"/>
    <w:tmpl w:val="6E682A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BB05703"/>
    <w:multiLevelType w:val="hybridMultilevel"/>
    <w:tmpl w:val="99CCCF0A"/>
    <w:lvl w:ilvl="0" w:tplc="08090001">
      <w:start w:val="1"/>
      <w:numFmt w:val="bullet"/>
      <w:lvlText w:val=""/>
      <w:lvlJc w:val="left"/>
      <w:pPr>
        <w:ind w:left="319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391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463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535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607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79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751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823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950" w:hanging="360"/>
      </w:pPr>
      <w:rPr>
        <w:rFonts w:ascii="Wingdings" w:hAnsi="Wingdings" w:hint="default"/>
      </w:rPr>
    </w:lvl>
  </w:abstractNum>
  <w:abstractNum w:abstractNumId="12">
    <w:nsid w:val="54C71A98"/>
    <w:multiLevelType w:val="hybridMultilevel"/>
    <w:tmpl w:val="0440612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5A86708"/>
    <w:multiLevelType w:val="hybridMultilevel"/>
    <w:tmpl w:val="E0B4E0D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61E08C0"/>
    <w:multiLevelType w:val="hybridMultilevel"/>
    <w:tmpl w:val="E26C0A3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6A25C8A"/>
    <w:multiLevelType w:val="hybridMultilevel"/>
    <w:tmpl w:val="3968B2D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96A01BF"/>
    <w:multiLevelType w:val="hybridMultilevel"/>
    <w:tmpl w:val="4B6606D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B2619E6"/>
    <w:multiLevelType w:val="hybridMultilevel"/>
    <w:tmpl w:val="6310E40C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1DF7339"/>
    <w:multiLevelType w:val="hybridMultilevel"/>
    <w:tmpl w:val="CF50B8D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34E7445"/>
    <w:multiLevelType w:val="hybridMultilevel"/>
    <w:tmpl w:val="9B489E3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7A61C58"/>
    <w:multiLevelType w:val="hybridMultilevel"/>
    <w:tmpl w:val="1630B1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7CA6F74"/>
    <w:multiLevelType w:val="hybridMultilevel"/>
    <w:tmpl w:val="1FB4BCF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0082049"/>
    <w:multiLevelType w:val="hybridMultilevel"/>
    <w:tmpl w:val="2CAE7EAC"/>
    <w:lvl w:ilvl="0" w:tplc="08090015">
      <w:start w:val="1"/>
      <w:numFmt w:val="upp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30A25B2"/>
    <w:multiLevelType w:val="hybridMultilevel"/>
    <w:tmpl w:val="96B4E4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30E230E"/>
    <w:multiLevelType w:val="hybridMultilevel"/>
    <w:tmpl w:val="EE5A9BD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9A46221"/>
    <w:multiLevelType w:val="hybridMultilevel"/>
    <w:tmpl w:val="897E3AF2"/>
    <w:lvl w:ilvl="0" w:tplc="08090001">
      <w:start w:val="1"/>
      <w:numFmt w:val="bullet"/>
      <w:lvlText w:val=""/>
      <w:lvlJc w:val="left"/>
      <w:pPr>
        <w:ind w:left="1242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96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68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40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12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4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56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28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02" w:hanging="360"/>
      </w:pPr>
      <w:rPr>
        <w:rFonts w:ascii="Wingdings" w:hAnsi="Wingdings" w:hint="default"/>
      </w:rPr>
    </w:lvl>
  </w:abstractNum>
  <w:abstractNum w:abstractNumId="26">
    <w:nsid w:val="7B8628E9"/>
    <w:multiLevelType w:val="hybridMultilevel"/>
    <w:tmpl w:val="7CB6E9DA"/>
    <w:lvl w:ilvl="0" w:tplc="08090001">
      <w:start w:val="1"/>
      <w:numFmt w:val="bullet"/>
      <w:lvlText w:val=""/>
      <w:lvlJc w:val="left"/>
      <w:pPr>
        <w:ind w:left="804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2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4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6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8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0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2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4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64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8"/>
  </w:num>
  <w:num w:numId="3">
    <w:abstractNumId w:val="5"/>
  </w:num>
  <w:num w:numId="4">
    <w:abstractNumId w:val="7"/>
  </w:num>
  <w:num w:numId="5">
    <w:abstractNumId w:val="19"/>
  </w:num>
  <w:num w:numId="6">
    <w:abstractNumId w:val="2"/>
  </w:num>
  <w:num w:numId="7">
    <w:abstractNumId w:val="13"/>
  </w:num>
  <w:num w:numId="8">
    <w:abstractNumId w:val="22"/>
  </w:num>
  <w:num w:numId="9">
    <w:abstractNumId w:val="15"/>
  </w:num>
  <w:num w:numId="10">
    <w:abstractNumId w:val="16"/>
  </w:num>
  <w:num w:numId="11">
    <w:abstractNumId w:val="23"/>
  </w:num>
  <w:num w:numId="12">
    <w:abstractNumId w:val="26"/>
  </w:num>
  <w:num w:numId="13">
    <w:abstractNumId w:val="0"/>
  </w:num>
  <w:num w:numId="14">
    <w:abstractNumId w:val="11"/>
  </w:num>
  <w:num w:numId="15">
    <w:abstractNumId w:val="4"/>
  </w:num>
  <w:num w:numId="16">
    <w:abstractNumId w:val="24"/>
  </w:num>
  <w:num w:numId="17">
    <w:abstractNumId w:val="25"/>
  </w:num>
  <w:num w:numId="18">
    <w:abstractNumId w:val="14"/>
  </w:num>
  <w:num w:numId="19">
    <w:abstractNumId w:val="17"/>
  </w:num>
  <w:num w:numId="20">
    <w:abstractNumId w:val="8"/>
  </w:num>
  <w:num w:numId="21">
    <w:abstractNumId w:val="1"/>
  </w:num>
  <w:num w:numId="22">
    <w:abstractNumId w:val="6"/>
  </w:num>
  <w:num w:numId="23">
    <w:abstractNumId w:val="21"/>
  </w:num>
  <w:num w:numId="24">
    <w:abstractNumId w:val="18"/>
  </w:num>
  <w:num w:numId="25">
    <w:abstractNumId w:val="9"/>
  </w:num>
  <w:num w:numId="26">
    <w:abstractNumId w:val="12"/>
  </w:num>
  <w:num w:numId="27">
    <w:abstractNumId w:val="10"/>
  </w:num>
  <w:num w:numId="28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4"/>
  <w:removePersonalInformation/>
  <w:removeDateAndTime/>
  <w:defaultTabStop w:val="720"/>
  <w:drawingGridHorizontalSpacing w:val="10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22EF"/>
    <w:rsid w:val="0000620D"/>
    <w:rsid w:val="000070F3"/>
    <w:rsid w:val="000112B7"/>
    <w:rsid w:val="00016EFE"/>
    <w:rsid w:val="00016F3D"/>
    <w:rsid w:val="00020EA8"/>
    <w:rsid w:val="000328A6"/>
    <w:rsid w:val="000435EB"/>
    <w:rsid w:val="00046CA6"/>
    <w:rsid w:val="00052B1D"/>
    <w:rsid w:val="00054625"/>
    <w:rsid w:val="00061020"/>
    <w:rsid w:val="00070F6D"/>
    <w:rsid w:val="00072537"/>
    <w:rsid w:val="0007419C"/>
    <w:rsid w:val="0007786C"/>
    <w:rsid w:val="00091915"/>
    <w:rsid w:val="00093C0C"/>
    <w:rsid w:val="000A2934"/>
    <w:rsid w:val="000A7587"/>
    <w:rsid w:val="000A7B08"/>
    <w:rsid w:val="000C1284"/>
    <w:rsid w:val="000D0754"/>
    <w:rsid w:val="000D0D3E"/>
    <w:rsid w:val="000D13B2"/>
    <w:rsid w:val="000D7C9F"/>
    <w:rsid w:val="000E2FC4"/>
    <w:rsid w:val="000E4FF9"/>
    <w:rsid w:val="001021C8"/>
    <w:rsid w:val="0010440D"/>
    <w:rsid w:val="00106E36"/>
    <w:rsid w:val="00124DF3"/>
    <w:rsid w:val="001267D4"/>
    <w:rsid w:val="00127B9B"/>
    <w:rsid w:val="00140456"/>
    <w:rsid w:val="0015298D"/>
    <w:rsid w:val="0016293D"/>
    <w:rsid w:val="00164A3F"/>
    <w:rsid w:val="0016643C"/>
    <w:rsid w:val="00171C0E"/>
    <w:rsid w:val="00182E46"/>
    <w:rsid w:val="001843CD"/>
    <w:rsid w:val="001869FD"/>
    <w:rsid w:val="001914D9"/>
    <w:rsid w:val="00193431"/>
    <w:rsid w:val="001A09FC"/>
    <w:rsid w:val="001C0A09"/>
    <w:rsid w:val="001C0B47"/>
    <w:rsid w:val="001C33BA"/>
    <w:rsid w:val="001C5266"/>
    <w:rsid w:val="001C7B47"/>
    <w:rsid w:val="001D23F8"/>
    <w:rsid w:val="001D2AB2"/>
    <w:rsid w:val="001D43CB"/>
    <w:rsid w:val="001E799F"/>
    <w:rsid w:val="00204DCA"/>
    <w:rsid w:val="00221CF9"/>
    <w:rsid w:val="00237DE1"/>
    <w:rsid w:val="00241DBF"/>
    <w:rsid w:val="002421A0"/>
    <w:rsid w:val="00244214"/>
    <w:rsid w:val="00245E11"/>
    <w:rsid w:val="00251F4B"/>
    <w:rsid w:val="00253F57"/>
    <w:rsid w:val="00267B39"/>
    <w:rsid w:val="00270794"/>
    <w:rsid w:val="00293334"/>
    <w:rsid w:val="002A03DC"/>
    <w:rsid w:val="002A3514"/>
    <w:rsid w:val="002B7338"/>
    <w:rsid w:val="002C25E0"/>
    <w:rsid w:val="002C4028"/>
    <w:rsid w:val="002C51CD"/>
    <w:rsid w:val="002D26D2"/>
    <w:rsid w:val="002D283F"/>
    <w:rsid w:val="002D3A49"/>
    <w:rsid w:val="002D64AB"/>
    <w:rsid w:val="002E021E"/>
    <w:rsid w:val="002E35D4"/>
    <w:rsid w:val="002E45F1"/>
    <w:rsid w:val="002E6272"/>
    <w:rsid w:val="002E73D4"/>
    <w:rsid w:val="003051A2"/>
    <w:rsid w:val="003062FE"/>
    <w:rsid w:val="00321E09"/>
    <w:rsid w:val="00325143"/>
    <w:rsid w:val="0033181F"/>
    <w:rsid w:val="00331B48"/>
    <w:rsid w:val="00331FB6"/>
    <w:rsid w:val="00332AD6"/>
    <w:rsid w:val="00351893"/>
    <w:rsid w:val="00353E34"/>
    <w:rsid w:val="003544FC"/>
    <w:rsid w:val="00357556"/>
    <w:rsid w:val="003722EE"/>
    <w:rsid w:val="00375EB0"/>
    <w:rsid w:val="00390BA8"/>
    <w:rsid w:val="003A23DA"/>
    <w:rsid w:val="003B257E"/>
    <w:rsid w:val="003B26EE"/>
    <w:rsid w:val="003B7A3B"/>
    <w:rsid w:val="003C092B"/>
    <w:rsid w:val="003D712C"/>
    <w:rsid w:val="003D734E"/>
    <w:rsid w:val="003E713C"/>
    <w:rsid w:val="003F7BD9"/>
    <w:rsid w:val="00402B07"/>
    <w:rsid w:val="00403080"/>
    <w:rsid w:val="004049B2"/>
    <w:rsid w:val="00411D47"/>
    <w:rsid w:val="0041635C"/>
    <w:rsid w:val="00425477"/>
    <w:rsid w:val="00430AD8"/>
    <w:rsid w:val="004335A4"/>
    <w:rsid w:val="004404C4"/>
    <w:rsid w:val="004422A1"/>
    <w:rsid w:val="00442410"/>
    <w:rsid w:val="00460AA9"/>
    <w:rsid w:val="004657BE"/>
    <w:rsid w:val="00472532"/>
    <w:rsid w:val="00473087"/>
    <w:rsid w:val="00481701"/>
    <w:rsid w:val="00481958"/>
    <w:rsid w:val="004825EB"/>
    <w:rsid w:val="004913C2"/>
    <w:rsid w:val="00496220"/>
    <w:rsid w:val="004A459F"/>
    <w:rsid w:val="004A6148"/>
    <w:rsid w:val="004B2B59"/>
    <w:rsid w:val="004B3A83"/>
    <w:rsid w:val="004C233A"/>
    <w:rsid w:val="004C6D06"/>
    <w:rsid w:val="004D00D0"/>
    <w:rsid w:val="004D02DC"/>
    <w:rsid w:val="004D6E23"/>
    <w:rsid w:val="004D7FD6"/>
    <w:rsid w:val="004E13A8"/>
    <w:rsid w:val="004E192A"/>
    <w:rsid w:val="004F1AE2"/>
    <w:rsid w:val="00511F51"/>
    <w:rsid w:val="00513377"/>
    <w:rsid w:val="00516951"/>
    <w:rsid w:val="00526AAE"/>
    <w:rsid w:val="00530D32"/>
    <w:rsid w:val="00545A38"/>
    <w:rsid w:val="005524A5"/>
    <w:rsid w:val="0056180A"/>
    <w:rsid w:val="0057574D"/>
    <w:rsid w:val="00581E15"/>
    <w:rsid w:val="00594BB5"/>
    <w:rsid w:val="00596398"/>
    <w:rsid w:val="00596709"/>
    <w:rsid w:val="005A22EF"/>
    <w:rsid w:val="005B6081"/>
    <w:rsid w:val="005C0010"/>
    <w:rsid w:val="005C179B"/>
    <w:rsid w:val="005D1D6A"/>
    <w:rsid w:val="005D553C"/>
    <w:rsid w:val="005D7AE9"/>
    <w:rsid w:val="005E2C41"/>
    <w:rsid w:val="005E41A7"/>
    <w:rsid w:val="005F0603"/>
    <w:rsid w:val="005F1BDA"/>
    <w:rsid w:val="005F1DAC"/>
    <w:rsid w:val="005F3D65"/>
    <w:rsid w:val="00605798"/>
    <w:rsid w:val="00613E1D"/>
    <w:rsid w:val="0063277F"/>
    <w:rsid w:val="00633F21"/>
    <w:rsid w:val="006372CC"/>
    <w:rsid w:val="00640323"/>
    <w:rsid w:val="00655F14"/>
    <w:rsid w:val="0066333B"/>
    <w:rsid w:val="00670AA7"/>
    <w:rsid w:val="006746B8"/>
    <w:rsid w:val="00675763"/>
    <w:rsid w:val="00683483"/>
    <w:rsid w:val="00690885"/>
    <w:rsid w:val="006971D2"/>
    <w:rsid w:val="006A0581"/>
    <w:rsid w:val="006A2224"/>
    <w:rsid w:val="006A4E2C"/>
    <w:rsid w:val="006B0E41"/>
    <w:rsid w:val="006B7DAB"/>
    <w:rsid w:val="006C23B2"/>
    <w:rsid w:val="006C2762"/>
    <w:rsid w:val="006C3FB0"/>
    <w:rsid w:val="006C49F6"/>
    <w:rsid w:val="006C668E"/>
    <w:rsid w:val="006C68BB"/>
    <w:rsid w:val="006E224E"/>
    <w:rsid w:val="006E2DEC"/>
    <w:rsid w:val="006E6452"/>
    <w:rsid w:val="006F2000"/>
    <w:rsid w:val="00701D69"/>
    <w:rsid w:val="0070474E"/>
    <w:rsid w:val="00707F03"/>
    <w:rsid w:val="0071021D"/>
    <w:rsid w:val="00720D1D"/>
    <w:rsid w:val="007252B0"/>
    <w:rsid w:val="007264B3"/>
    <w:rsid w:val="00730A68"/>
    <w:rsid w:val="00732F81"/>
    <w:rsid w:val="00733EB3"/>
    <w:rsid w:val="00734D04"/>
    <w:rsid w:val="00750DDC"/>
    <w:rsid w:val="00774EF7"/>
    <w:rsid w:val="00787FD6"/>
    <w:rsid w:val="00793616"/>
    <w:rsid w:val="007A1628"/>
    <w:rsid w:val="007A5C71"/>
    <w:rsid w:val="007A6867"/>
    <w:rsid w:val="007B2F35"/>
    <w:rsid w:val="007B4846"/>
    <w:rsid w:val="007B5A8A"/>
    <w:rsid w:val="007B7A22"/>
    <w:rsid w:val="007D2885"/>
    <w:rsid w:val="007D5DD3"/>
    <w:rsid w:val="007E1144"/>
    <w:rsid w:val="007F4B00"/>
    <w:rsid w:val="007F66D8"/>
    <w:rsid w:val="007F78C5"/>
    <w:rsid w:val="00805210"/>
    <w:rsid w:val="008058E7"/>
    <w:rsid w:val="00806AD0"/>
    <w:rsid w:val="008075B1"/>
    <w:rsid w:val="00812A8C"/>
    <w:rsid w:val="0081595F"/>
    <w:rsid w:val="00816B4C"/>
    <w:rsid w:val="00816DC6"/>
    <w:rsid w:val="008218F3"/>
    <w:rsid w:val="00825923"/>
    <w:rsid w:val="008322C4"/>
    <w:rsid w:val="00832312"/>
    <w:rsid w:val="00833F0F"/>
    <w:rsid w:val="008349ED"/>
    <w:rsid w:val="00841518"/>
    <w:rsid w:val="00847293"/>
    <w:rsid w:val="008474BC"/>
    <w:rsid w:val="008531E3"/>
    <w:rsid w:val="00865592"/>
    <w:rsid w:val="00867E2F"/>
    <w:rsid w:val="00880054"/>
    <w:rsid w:val="008B09A9"/>
    <w:rsid w:val="008B4171"/>
    <w:rsid w:val="008D378A"/>
    <w:rsid w:val="008D528C"/>
    <w:rsid w:val="008D7836"/>
    <w:rsid w:val="008E4314"/>
    <w:rsid w:val="008E7261"/>
    <w:rsid w:val="008F122B"/>
    <w:rsid w:val="00901676"/>
    <w:rsid w:val="0090486F"/>
    <w:rsid w:val="009070CC"/>
    <w:rsid w:val="009110B1"/>
    <w:rsid w:val="009119BB"/>
    <w:rsid w:val="00923485"/>
    <w:rsid w:val="00923C0B"/>
    <w:rsid w:val="00925068"/>
    <w:rsid w:val="00942E28"/>
    <w:rsid w:val="009430AE"/>
    <w:rsid w:val="009461BA"/>
    <w:rsid w:val="009528F0"/>
    <w:rsid w:val="00964C13"/>
    <w:rsid w:val="00970E35"/>
    <w:rsid w:val="00973198"/>
    <w:rsid w:val="009843DC"/>
    <w:rsid w:val="00987AD1"/>
    <w:rsid w:val="00987C59"/>
    <w:rsid w:val="0099357D"/>
    <w:rsid w:val="009A5F72"/>
    <w:rsid w:val="009A7DD7"/>
    <w:rsid w:val="009B22E4"/>
    <w:rsid w:val="009B2D7E"/>
    <w:rsid w:val="009B5AA2"/>
    <w:rsid w:val="009D7E30"/>
    <w:rsid w:val="009E276D"/>
    <w:rsid w:val="009E3F80"/>
    <w:rsid w:val="009E4FDB"/>
    <w:rsid w:val="009F337E"/>
    <w:rsid w:val="00A03103"/>
    <w:rsid w:val="00A06712"/>
    <w:rsid w:val="00A076E8"/>
    <w:rsid w:val="00A130F0"/>
    <w:rsid w:val="00A130FF"/>
    <w:rsid w:val="00A14516"/>
    <w:rsid w:val="00A16BD9"/>
    <w:rsid w:val="00A208E0"/>
    <w:rsid w:val="00A20A27"/>
    <w:rsid w:val="00A23FAC"/>
    <w:rsid w:val="00A27538"/>
    <w:rsid w:val="00A27702"/>
    <w:rsid w:val="00A31F3D"/>
    <w:rsid w:val="00A337B0"/>
    <w:rsid w:val="00A411ED"/>
    <w:rsid w:val="00A47419"/>
    <w:rsid w:val="00A51EA6"/>
    <w:rsid w:val="00A55215"/>
    <w:rsid w:val="00A63744"/>
    <w:rsid w:val="00A6627D"/>
    <w:rsid w:val="00A72505"/>
    <w:rsid w:val="00A7251F"/>
    <w:rsid w:val="00A7776A"/>
    <w:rsid w:val="00A81B58"/>
    <w:rsid w:val="00A83313"/>
    <w:rsid w:val="00A9516B"/>
    <w:rsid w:val="00A95D5D"/>
    <w:rsid w:val="00A95FBB"/>
    <w:rsid w:val="00AA1569"/>
    <w:rsid w:val="00AB0AC2"/>
    <w:rsid w:val="00AC677E"/>
    <w:rsid w:val="00AC680E"/>
    <w:rsid w:val="00AD3AEF"/>
    <w:rsid w:val="00AD3C50"/>
    <w:rsid w:val="00AD49A3"/>
    <w:rsid w:val="00AE30D7"/>
    <w:rsid w:val="00AE67D6"/>
    <w:rsid w:val="00AF2B62"/>
    <w:rsid w:val="00AF2C34"/>
    <w:rsid w:val="00AF4CCE"/>
    <w:rsid w:val="00AF7DE5"/>
    <w:rsid w:val="00B02824"/>
    <w:rsid w:val="00B04A16"/>
    <w:rsid w:val="00B0782C"/>
    <w:rsid w:val="00B0785B"/>
    <w:rsid w:val="00B20925"/>
    <w:rsid w:val="00B22607"/>
    <w:rsid w:val="00B26A43"/>
    <w:rsid w:val="00B469B3"/>
    <w:rsid w:val="00B50E54"/>
    <w:rsid w:val="00B56899"/>
    <w:rsid w:val="00B6210C"/>
    <w:rsid w:val="00B66C55"/>
    <w:rsid w:val="00B71A61"/>
    <w:rsid w:val="00B73435"/>
    <w:rsid w:val="00B73591"/>
    <w:rsid w:val="00B83D70"/>
    <w:rsid w:val="00B84A58"/>
    <w:rsid w:val="00B9260A"/>
    <w:rsid w:val="00BA3A5F"/>
    <w:rsid w:val="00BA3B2E"/>
    <w:rsid w:val="00BB2DE9"/>
    <w:rsid w:val="00BC2704"/>
    <w:rsid w:val="00BC32EE"/>
    <w:rsid w:val="00BC704F"/>
    <w:rsid w:val="00BE1799"/>
    <w:rsid w:val="00BF193A"/>
    <w:rsid w:val="00C11888"/>
    <w:rsid w:val="00C13643"/>
    <w:rsid w:val="00C1583B"/>
    <w:rsid w:val="00C16EED"/>
    <w:rsid w:val="00C1740E"/>
    <w:rsid w:val="00C20DAA"/>
    <w:rsid w:val="00C21F8A"/>
    <w:rsid w:val="00C318DE"/>
    <w:rsid w:val="00C328DC"/>
    <w:rsid w:val="00C45E7C"/>
    <w:rsid w:val="00C4685F"/>
    <w:rsid w:val="00C653A8"/>
    <w:rsid w:val="00C66374"/>
    <w:rsid w:val="00C66F2C"/>
    <w:rsid w:val="00C708E9"/>
    <w:rsid w:val="00C72522"/>
    <w:rsid w:val="00C76686"/>
    <w:rsid w:val="00C8017A"/>
    <w:rsid w:val="00C914B0"/>
    <w:rsid w:val="00C92F2D"/>
    <w:rsid w:val="00C96C27"/>
    <w:rsid w:val="00CA24A8"/>
    <w:rsid w:val="00CA7021"/>
    <w:rsid w:val="00CB3BF6"/>
    <w:rsid w:val="00CB6EC2"/>
    <w:rsid w:val="00CC1FC6"/>
    <w:rsid w:val="00CC50B8"/>
    <w:rsid w:val="00CD4EE2"/>
    <w:rsid w:val="00CF4FB0"/>
    <w:rsid w:val="00CF7BBB"/>
    <w:rsid w:val="00D02131"/>
    <w:rsid w:val="00D15232"/>
    <w:rsid w:val="00D3703F"/>
    <w:rsid w:val="00D3719F"/>
    <w:rsid w:val="00D44050"/>
    <w:rsid w:val="00D559CE"/>
    <w:rsid w:val="00D64923"/>
    <w:rsid w:val="00D70E25"/>
    <w:rsid w:val="00D75887"/>
    <w:rsid w:val="00D81562"/>
    <w:rsid w:val="00D8348C"/>
    <w:rsid w:val="00D84560"/>
    <w:rsid w:val="00D875E1"/>
    <w:rsid w:val="00D87622"/>
    <w:rsid w:val="00D93731"/>
    <w:rsid w:val="00DA0EF6"/>
    <w:rsid w:val="00DA1D83"/>
    <w:rsid w:val="00DA3B5A"/>
    <w:rsid w:val="00DA3CDB"/>
    <w:rsid w:val="00DC2193"/>
    <w:rsid w:val="00DC4498"/>
    <w:rsid w:val="00DC6C68"/>
    <w:rsid w:val="00DD3A6D"/>
    <w:rsid w:val="00DD48A0"/>
    <w:rsid w:val="00DE075B"/>
    <w:rsid w:val="00DE2066"/>
    <w:rsid w:val="00DE61D5"/>
    <w:rsid w:val="00E02AFF"/>
    <w:rsid w:val="00E04C64"/>
    <w:rsid w:val="00E068A3"/>
    <w:rsid w:val="00E20A1D"/>
    <w:rsid w:val="00E20A51"/>
    <w:rsid w:val="00E2567A"/>
    <w:rsid w:val="00E305FF"/>
    <w:rsid w:val="00E33A55"/>
    <w:rsid w:val="00E45A88"/>
    <w:rsid w:val="00E57CD8"/>
    <w:rsid w:val="00E67EFD"/>
    <w:rsid w:val="00E76746"/>
    <w:rsid w:val="00E82760"/>
    <w:rsid w:val="00E845F1"/>
    <w:rsid w:val="00E850D7"/>
    <w:rsid w:val="00E90173"/>
    <w:rsid w:val="00E94B88"/>
    <w:rsid w:val="00E94C50"/>
    <w:rsid w:val="00EA3E54"/>
    <w:rsid w:val="00EA70C2"/>
    <w:rsid w:val="00EB2E94"/>
    <w:rsid w:val="00EB424D"/>
    <w:rsid w:val="00EC28E5"/>
    <w:rsid w:val="00ED1604"/>
    <w:rsid w:val="00ED62B2"/>
    <w:rsid w:val="00EE1A27"/>
    <w:rsid w:val="00EE54C4"/>
    <w:rsid w:val="00EF4338"/>
    <w:rsid w:val="00F04776"/>
    <w:rsid w:val="00F12891"/>
    <w:rsid w:val="00F219C9"/>
    <w:rsid w:val="00F403B9"/>
    <w:rsid w:val="00F43B6E"/>
    <w:rsid w:val="00F51117"/>
    <w:rsid w:val="00F64EF1"/>
    <w:rsid w:val="00F65917"/>
    <w:rsid w:val="00F70DBA"/>
    <w:rsid w:val="00F8377D"/>
    <w:rsid w:val="00F850C7"/>
    <w:rsid w:val="00F8714D"/>
    <w:rsid w:val="00F906A1"/>
    <w:rsid w:val="00F92536"/>
    <w:rsid w:val="00F935C2"/>
    <w:rsid w:val="00FA0CBA"/>
    <w:rsid w:val="00FA4D46"/>
    <w:rsid w:val="00FC1031"/>
    <w:rsid w:val="00FC1EB7"/>
    <w:rsid w:val="00FC488A"/>
    <w:rsid w:val="00FD4002"/>
    <w:rsid w:val="00FD74FE"/>
    <w:rsid w:val="00FE2F92"/>
    <w:rsid w:val="00FE68E1"/>
    <w:rsid w:val="00FF2B33"/>
    <w:rsid w:val="00FF3E00"/>
    <w:rsid w:val="00FF74F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25068"/>
    <w:rPr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99357D"/>
    <w:pPr>
      <w:numPr>
        <w:numId w:val="2"/>
      </w:numPr>
      <w:outlineLvl w:val="0"/>
    </w:pPr>
    <w:rPr>
      <w:b/>
      <w:color w:val="17365D" w:themeColor="text2" w:themeShade="BF"/>
      <w:sz w:val="24"/>
      <w:u w:val="single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925068"/>
    <w:pPr>
      <w:numPr>
        <w:ilvl w:val="1"/>
      </w:numPr>
      <w:ind w:left="1560" w:hanging="1560"/>
      <w:outlineLvl w:val="1"/>
    </w:pPr>
    <w:rPr>
      <w:u w:val="none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6E2DEC"/>
    <w:pPr>
      <w:numPr>
        <w:ilvl w:val="2"/>
      </w:numPr>
      <w:ind w:left="709" w:hanging="709"/>
      <w:outlineLvl w:val="2"/>
    </w:pPr>
    <w:rPr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A22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22E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A7B0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A7B08"/>
  </w:style>
  <w:style w:type="paragraph" w:styleId="Footer">
    <w:name w:val="footer"/>
    <w:basedOn w:val="Normal"/>
    <w:link w:val="FooterChar"/>
    <w:uiPriority w:val="99"/>
    <w:unhideWhenUsed/>
    <w:rsid w:val="000A7B0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A7B08"/>
  </w:style>
  <w:style w:type="table" w:styleId="TableGrid">
    <w:name w:val="Table Grid"/>
    <w:basedOn w:val="TableNormal"/>
    <w:uiPriority w:val="59"/>
    <w:rsid w:val="000A7B0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9357D"/>
    <w:rPr>
      <w:b/>
      <w:color w:val="17365D" w:themeColor="text2" w:themeShade="BF"/>
      <w:sz w:val="24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925068"/>
    <w:rPr>
      <w:b/>
      <w:color w:val="17365D" w:themeColor="text2" w:themeShade="BF"/>
      <w:sz w:val="24"/>
    </w:rPr>
  </w:style>
  <w:style w:type="character" w:customStyle="1" w:styleId="Heading3Char">
    <w:name w:val="Heading 3 Char"/>
    <w:basedOn w:val="DefaultParagraphFont"/>
    <w:link w:val="Heading3"/>
    <w:uiPriority w:val="9"/>
    <w:rsid w:val="006E2DEC"/>
    <w:rPr>
      <w:b/>
      <w:color w:val="17365D" w:themeColor="text2" w:themeShade="BF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A20A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A20A27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FF2B33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204DCA"/>
    <w:pPr>
      <w:ind w:left="720"/>
      <w:contextualSpacing/>
    </w:pPr>
  </w:style>
  <w:style w:type="paragraph" w:styleId="Caption">
    <w:name w:val="caption"/>
    <w:basedOn w:val="Normal"/>
    <w:next w:val="Normal"/>
    <w:uiPriority w:val="35"/>
    <w:unhideWhenUsed/>
    <w:qFormat/>
    <w:rsid w:val="00425477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B83D70"/>
    <w:rPr>
      <w:color w:val="800080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B84A58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84A58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84A58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A58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A58"/>
    <w:rPr>
      <w:b/>
      <w:bCs/>
      <w:sz w:val="20"/>
      <w:szCs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805210"/>
    <w:pPr>
      <w:keepNext/>
      <w:keepLines/>
      <w:numPr>
        <w:numId w:val="0"/>
      </w:numPr>
      <w:spacing w:before="480" w:after="0"/>
      <w:outlineLvl w:val="9"/>
    </w:pPr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  <w:u w:val="none"/>
      <w:lang w:val="en-US"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805210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805210"/>
    <w:pPr>
      <w:spacing w:after="100"/>
      <w:ind w:left="200"/>
    </w:pPr>
  </w:style>
  <w:style w:type="paragraph" w:styleId="TOC3">
    <w:name w:val="toc 3"/>
    <w:basedOn w:val="Normal"/>
    <w:next w:val="Normal"/>
    <w:autoRedefine/>
    <w:uiPriority w:val="39"/>
    <w:unhideWhenUsed/>
    <w:rsid w:val="00805210"/>
    <w:pPr>
      <w:spacing w:after="100"/>
      <w:ind w:left="4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3757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35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2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4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1567</Words>
  <Characters>8936</Characters>
  <Application>Microsoft Office Word</Application>
  <DocSecurity>0</DocSecurity>
  <Lines>74</Lines>
  <Paragraphs>20</Paragraphs>
  <ScaleCrop>false</ScaleCrop>
  <Company/>
  <LinksUpToDate>false</LinksUpToDate>
  <CharactersWithSpaces>10483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2016-07-11T22:04:00Z</dcterms:created>
  <dcterms:modified xsi:type="dcterms:W3CDTF">2016-08-25T11:29:00Z</dcterms:modified>
</cp:coreProperties>
</file>